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cs="Microsoft JhengHei"/>
          <w:sz w:val="44"/>
          <w:szCs w:val="44"/>
          <w:highlight w:val="none"/>
        </w:rPr>
      </w:pPr>
      <w:r>
        <w:rPr>
          <w:rFonts w:cs="Microsoft JhengHei"/>
          <w:sz w:val="44"/>
          <w:szCs w:val="44"/>
          <w:highlight w:val="none"/>
        </w:rPr>
        <w:drawing>
          <wp:anchor distT="0" distB="0" distL="114300" distR="114300" simplePos="0" relativeHeight="251663360" behindDoc="0" locked="0" layoutInCell="1" allowOverlap="1">
            <wp:simplePos x="0" y="0"/>
            <wp:positionH relativeFrom="page">
              <wp:posOffset>4436745</wp:posOffset>
            </wp:positionH>
            <wp:positionV relativeFrom="page">
              <wp:posOffset>1032510</wp:posOffset>
            </wp:positionV>
            <wp:extent cx="1720215" cy="800100"/>
            <wp:effectExtent l="0" t="0" r="1905" b="7620"/>
            <wp:wrapNone/>
            <wp:docPr id="6" name="图片 3" descr="说明: 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说明: GD"/>
                    <pic:cNvPicPr>
                      <a:picLocks noChangeAspect="1"/>
                    </pic:cNvPicPr>
                  </pic:nvPicPr>
                  <pic:blipFill>
                    <a:blip r:embed="rId16"/>
                    <a:stretch>
                      <a:fillRect/>
                    </a:stretch>
                  </pic:blipFill>
                  <pic:spPr>
                    <a:xfrm>
                      <a:off x="0" y="0"/>
                      <a:ext cx="1720215" cy="800100"/>
                    </a:xfrm>
                    <a:prstGeom prst="rect">
                      <a:avLst/>
                    </a:prstGeom>
                    <a:noFill/>
                    <a:ln>
                      <a:noFill/>
                    </a:ln>
                  </pic:spPr>
                </pic:pic>
              </a:graphicData>
            </a:graphic>
          </wp:anchor>
        </w:drawing>
      </w:r>
    </w:p>
    <w:p>
      <w:pPr>
        <w:pStyle w:val="20"/>
        <w:rPr>
          <w:rFonts w:hint="eastAsia"/>
          <w:highlight w:val="none"/>
          <w:lang w:val="en-US" w:eastAsia="zh-CN"/>
        </w:rPr>
      </w:pPr>
    </w:p>
    <w:p>
      <w:pPr>
        <w:jc w:val="both"/>
        <w:rPr>
          <w:rFonts w:eastAsia="MS Gothic"/>
          <w:b/>
          <w:sz w:val="84"/>
          <w:szCs w:val="84"/>
          <w:highlight w:val="none"/>
        </w:rPr>
      </w:pPr>
      <w:r>
        <w:rPr>
          <w:rFonts w:hint="eastAsia" w:eastAsia="黑体"/>
          <w:sz w:val="32"/>
          <w:szCs w:val="32"/>
          <w:highlight w:val="none"/>
          <w:lang w:val="en-US" w:eastAsia="zh-CN"/>
        </w:rPr>
        <w:t xml:space="preserve">         </w:t>
      </w:r>
      <w:r>
        <w:rPr>
          <w:rFonts w:eastAsia="黑体"/>
          <w:spacing w:val="28"/>
          <w:sz w:val="48"/>
          <w:szCs w:val="48"/>
          <w:highlight w:val="none"/>
        </w:rPr>
        <w:t>广东省标准</w:t>
      </w:r>
      <w:r>
        <w:rPr>
          <w:rFonts w:eastAsia="黑体"/>
          <w:sz w:val="32"/>
          <w:szCs w:val="32"/>
          <w:highlight w:val="none"/>
        </w:rPr>
        <w:t xml:space="preserve">            </w:t>
      </w:r>
      <w:r>
        <w:rPr>
          <w:rFonts w:hint="eastAsia"/>
          <w:color w:val="000000"/>
          <w:sz w:val="52"/>
          <w:highlight w:val="none"/>
        </w:rPr>
        <w:t xml:space="preserve">   </w:t>
      </w:r>
    </w:p>
    <w:p>
      <w:pPr>
        <w:rPr>
          <w:rFonts w:hint="eastAsia"/>
          <w:highlight w:val="none"/>
        </w:rPr>
      </w:pPr>
      <w:r>
        <w:rPr>
          <w:highlight w:val="none"/>
        </w:rPr>
        <w:t xml:space="preserve">                              </w:t>
      </w:r>
      <w:bookmarkStart w:id="0" w:name="_Toc337542810"/>
      <w:r>
        <w:rPr>
          <w:rFonts w:hint="eastAsia"/>
          <w:highlight w:val="none"/>
        </w:rPr>
        <w:t xml:space="preserve">  </w:t>
      </w:r>
      <w:r>
        <w:rPr>
          <w:rFonts w:hint="eastAsia"/>
          <w:highlight w:val="none"/>
          <w:lang w:val="en-US" w:eastAsia="zh-CN"/>
        </w:rPr>
        <w:t xml:space="preserve">                                            </w:t>
      </w:r>
      <w:r>
        <w:rPr>
          <w:rFonts w:hint="eastAsia"/>
          <w:highlight w:val="none"/>
        </w:rPr>
        <w:t xml:space="preserve">  </w:t>
      </w:r>
      <w:r>
        <w:rPr>
          <w:rFonts w:hint="eastAsia"/>
          <w:highlight w:val="none"/>
          <w:lang w:val="en-US" w:eastAsia="zh-CN"/>
        </w:rPr>
        <w:t xml:space="preserve">       </w:t>
      </w:r>
      <w:r>
        <w:rPr>
          <w:rFonts w:hint="eastAsia"/>
          <w:highlight w:val="non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eastAsia="宋体"/>
          <w:spacing w:val="17"/>
          <w:sz w:val="30"/>
          <w:szCs w:val="30"/>
          <w:highlight w:val="none"/>
          <w:lang w:val="en-US" w:eastAsia="zh-CN"/>
        </w:rPr>
      </w:pPr>
      <w:r>
        <w:rPr>
          <w:rFonts w:hint="eastAsia"/>
          <w:highlight w:val="none"/>
          <w:lang w:val="en-US" w:eastAsia="zh-CN"/>
        </w:rPr>
        <w:t xml:space="preserve">                                                      </w:t>
      </w:r>
      <w:r>
        <w:rPr>
          <w:rFonts w:hint="eastAsia"/>
          <w:highlight w:val="none"/>
        </w:rPr>
        <w:t xml:space="preserve"> </w:t>
      </w:r>
      <w:r>
        <w:rPr>
          <w:spacing w:val="23"/>
          <w:sz w:val="30"/>
          <w:szCs w:val="30"/>
          <w:highlight w:val="none"/>
        </w:rPr>
        <w:t>DBJ</w:t>
      </w:r>
      <w:r>
        <w:rPr>
          <w:rFonts w:hint="eastAsia"/>
          <w:spacing w:val="23"/>
          <w:sz w:val="30"/>
          <w:szCs w:val="30"/>
          <w:highlight w:val="none"/>
          <w:lang w:val="en-US" w:eastAsia="zh-CN"/>
        </w:rPr>
        <w:t>/T 15</w:t>
      </w:r>
      <w:r>
        <w:rPr>
          <w:spacing w:val="23"/>
          <w:sz w:val="30"/>
          <w:szCs w:val="30"/>
          <w:highlight w:val="none"/>
        </w:rPr>
        <w:t>-</w:t>
      </w:r>
      <w:r>
        <w:rPr>
          <w:rFonts w:hint="eastAsia" w:ascii="黑体" w:hAnsi="黑体" w:eastAsia="黑体"/>
          <w:sz w:val="28"/>
          <w:szCs w:val="28"/>
          <w:highlight w:val="none"/>
          <w:lang w:val="en-US" w:eastAsia="zh-CN"/>
        </w:rPr>
        <w:t>XX</w:t>
      </w:r>
      <w:r>
        <w:rPr>
          <w:spacing w:val="23"/>
          <w:sz w:val="30"/>
          <w:szCs w:val="30"/>
          <w:highlight w:val="none"/>
        </w:rPr>
        <w:t>-</w:t>
      </w:r>
      <w:bookmarkEnd w:id="0"/>
      <w:r>
        <w:rPr>
          <w:spacing w:val="0"/>
          <w:sz w:val="30"/>
          <w:szCs w:val="30"/>
          <w:highlight w:val="none"/>
        </w:rPr>
        <w:t>20</w:t>
      </w:r>
      <w:r>
        <w:rPr>
          <w:rFonts w:hint="eastAsia" w:ascii="黑体" w:hAnsi="黑体" w:eastAsia="黑体"/>
          <w:sz w:val="28"/>
          <w:szCs w:val="28"/>
          <w:highlight w:val="none"/>
          <w:lang w:val="en-US" w:eastAsia="zh-CN"/>
        </w:rPr>
        <w:t>XX</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sz w:val="28"/>
          <w:szCs w:val="28"/>
          <w:highlight w:val="none"/>
        </w:rPr>
      </w:pPr>
      <w:r>
        <w:rPr>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26035</wp:posOffset>
                </wp:positionH>
                <wp:positionV relativeFrom="paragraph">
                  <wp:posOffset>359410</wp:posOffset>
                </wp:positionV>
                <wp:extent cx="5486400" cy="41910"/>
                <wp:effectExtent l="0" t="4445" r="0" b="14605"/>
                <wp:wrapNone/>
                <wp:docPr id="4" name="直线 4"/>
                <wp:cNvGraphicFramePr/>
                <a:graphic xmlns:a="http://schemas.openxmlformats.org/drawingml/2006/main">
                  <a:graphicData uri="http://schemas.microsoft.com/office/word/2010/wordprocessingShape">
                    <wps:wsp>
                      <wps:cNvCnPr/>
                      <wps:spPr>
                        <a:xfrm flipV="1">
                          <a:off x="0" y="0"/>
                          <a:ext cx="5486400" cy="419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2.05pt;margin-top:28.3pt;height:3.3pt;width:432pt;z-index:251661312;mso-width-relative:page;mso-height-relative:page;" filled="f" stroked="t" coordsize="21600,21600" o:gfxdata="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bFpJ1AAAAAcBAAAPAAAAAAAAAAEAIAAAACIAAABkcnMvZG93bnJldi54bWxQSwECFAAU&#10;AAAACACHTuJAI8fTFfUBAADpAwAADgAAAAAAAAABACAAAAAjAQAAZHJzL2Uyb0RvYy54bWxQSwUG&#10;AAAAAAYABgBZAQAAigUAAAAA&#10;">
                <v:fill on="f" focussize="0,0"/>
                <v:stroke color="#000000" joinstyle="round"/>
                <v:imagedata o:title=""/>
                <o:lock v:ext="edit" aspectratio="f"/>
              </v:line>
            </w:pict>
          </mc:Fallback>
        </mc:AlternateContent>
      </w:r>
      <w:r>
        <w:rPr>
          <w:rFonts w:hint="eastAsia"/>
          <w:sz w:val="28"/>
          <w:szCs w:val="28"/>
          <w:highlight w:val="none"/>
          <w:lang w:val="en-US" w:eastAsia="zh-CN"/>
        </w:rPr>
        <w:t xml:space="preserve">                                        </w:t>
      </w:r>
      <w:r>
        <w:rPr>
          <w:rFonts w:hint="eastAsia" w:ascii="黑体" w:hAnsi="黑体" w:eastAsia="黑体"/>
          <w:sz w:val="28"/>
          <w:szCs w:val="28"/>
          <w:highlight w:val="none"/>
        </w:rPr>
        <w:t xml:space="preserve">备案号 J </w:t>
      </w:r>
      <w:r>
        <w:rPr>
          <w:rFonts w:hint="eastAsia" w:ascii="黑体" w:hAnsi="黑体" w:eastAsia="黑体"/>
          <w:sz w:val="28"/>
          <w:szCs w:val="28"/>
          <w:highlight w:val="none"/>
          <w:lang w:val="en-US" w:eastAsia="zh-CN"/>
        </w:rPr>
        <w:t>XXXXX</w:t>
      </w:r>
      <w:r>
        <w:rPr>
          <w:rFonts w:hint="eastAsia" w:ascii="黑体" w:hAnsi="黑体" w:eastAsia="黑体"/>
          <w:sz w:val="28"/>
          <w:szCs w:val="28"/>
          <w:highlight w:val="none"/>
        </w:rPr>
        <w:t>-20</w:t>
      </w:r>
      <w:r>
        <w:rPr>
          <w:rFonts w:hint="eastAsia" w:ascii="黑体" w:hAnsi="黑体" w:eastAsia="黑体"/>
          <w:sz w:val="28"/>
          <w:szCs w:val="28"/>
          <w:highlight w:val="none"/>
          <w:lang w:val="en-US" w:eastAsia="zh-CN"/>
        </w:rPr>
        <w:t>XX</w:t>
      </w:r>
    </w:p>
    <w:p>
      <w:pPr>
        <w:jc w:val="center"/>
        <w:rPr>
          <w:rFonts w:ascii="宋体" w:hAnsi="宋体"/>
          <w:b/>
          <w:sz w:val="48"/>
          <w:szCs w:val="48"/>
          <w:highlight w:val="none"/>
        </w:rPr>
      </w:pPr>
    </w:p>
    <w:p>
      <w:pPr>
        <w:jc w:val="center"/>
        <w:outlineLvl w:val="9"/>
        <w:rPr>
          <w:rFonts w:hint="eastAsia" w:ascii="宋体" w:hAnsi="宋体"/>
          <w:b/>
          <w:sz w:val="48"/>
          <w:szCs w:val="48"/>
          <w:highlight w:val="none"/>
        </w:rPr>
      </w:pPr>
      <w:bookmarkStart w:id="1" w:name="_Toc375640674"/>
    </w:p>
    <w:bookmarkEnd w:id="1"/>
    <w:p>
      <w:pPr>
        <w:keepNext w:val="0"/>
        <w:keepLines w:val="0"/>
        <w:widowControl/>
        <w:suppressLineNumbers w:val="0"/>
        <w:jc w:val="center"/>
        <w:outlineLvl w:val="0"/>
        <w:rPr>
          <w:rFonts w:ascii="宋体" w:hAnsi="宋体"/>
          <w:b/>
          <w:sz w:val="48"/>
          <w:szCs w:val="48"/>
          <w:highlight w:val="none"/>
        </w:rPr>
      </w:pPr>
      <w:bookmarkStart w:id="2" w:name="_Toc375640675"/>
      <w:bookmarkStart w:id="3" w:name="_Toc29499"/>
      <w:r>
        <w:rPr>
          <w:rFonts w:hint="eastAsia" w:ascii="宋体" w:hAnsi="宋体" w:eastAsia="宋体" w:cs="Times New Roman"/>
          <w:b/>
          <w:sz w:val="48"/>
          <w:szCs w:val="48"/>
          <w:highlight w:val="none"/>
          <w:lang w:val="en-US" w:eastAsia="zh-CN"/>
        </w:rPr>
        <w:t>电力工业物业管理服务</w:t>
      </w:r>
      <w:bookmarkEnd w:id="2"/>
      <w:r>
        <w:rPr>
          <w:rFonts w:hint="eastAsia" w:ascii="宋体" w:hAnsi="宋体" w:cs="Times New Roman"/>
          <w:b/>
          <w:sz w:val="48"/>
          <w:szCs w:val="48"/>
          <w:highlight w:val="none"/>
          <w:lang w:val="en-US" w:eastAsia="zh-CN"/>
        </w:rPr>
        <w:t>标准</w:t>
      </w:r>
      <w:bookmarkEnd w:id="3"/>
    </w:p>
    <w:p>
      <w:pPr>
        <w:rPr>
          <w:highlight w:val="none"/>
        </w:rPr>
      </w:pPr>
    </w:p>
    <w:p>
      <w:pPr>
        <w:jc w:val="center"/>
        <w:rPr>
          <w:rFonts w:hint="eastAsia" w:ascii="Times New Roman" w:hAnsi="Times New Roman" w:eastAsia="宋体" w:cs="Times New Roman"/>
          <w:b/>
          <w:sz w:val="28"/>
          <w:szCs w:val="28"/>
          <w:highlight w:val="none"/>
        </w:rPr>
      </w:pPr>
      <w:r>
        <w:rPr>
          <w:rFonts w:hint="eastAsia" w:ascii="Times New Roman" w:hAnsi="Times New Roman" w:eastAsia="宋体" w:cs="Times New Roman"/>
          <w:b/>
          <w:sz w:val="28"/>
          <w:szCs w:val="28"/>
          <w:highlight w:val="none"/>
        </w:rPr>
        <w:t>Service standard for property management in the electric power industry</w:t>
      </w:r>
    </w:p>
    <w:p>
      <w:pPr>
        <w:jc w:val="center"/>
        <w:rPr>
          <w:b/>
          <w:color w:val="000000"/>
          <w:sz w:val="30"/>
          <w:szCs w:val="30"/>
          <w:highlight w:val="none"/>
        </w:rPr>
      </w:pPr>
      <w:r>
        <w:rPr>
          <w:rFonts w:hint="eastAsia"/>
          <w:b/>
          <w:color w:val="000000"/>
          <w:sz w:val="30"/>
          <w:szCs w:val="30"/>
          <w:highlight w:val="none"/>
        </w:rPr>
        <w:t>(</w:t>
      </w:r>
      <w:r>
        <w:rPr>
          <w:rFonts w:hint="eastAsia"/>
          <w:b/>
          <w:color w:val="000000"/>
          <w:sz w:val="30"/>
          <w:szCs w:val="30"/>
          <w:highlight w:val="none"/>
          <w:lang w:val="en-US" w:eastAsia="zh-CN"/>
        </w:rPr>
        <w:t>征求意见稿</w:t>
      </w:r>
      <w:r>
        <w:rPr>
          <w:rFonts w:hint="eastAsia"/>
          <w:b/>
          <w:color w:val="000000"/>
          <w:sz w:val="30"/>
          <w:szCs w:val="30"/>
          <w:highlight w:val="none"/>
        </w:rPr>
        <w:t>)</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rFonts w:eastAsia="黑体"/>
          <w:sz w:val="28"/>
          <w:szCs w:val="28"/>
          <w:highlight w:val="none"/>
        </w:rPr>
      </w:pPr>
      <w:r>
        <w:rPr>
          <w:b/>
          <w:bCs/>
          <w:sz w:val="32"/>
          <w:highlight w:val="none"/>
        </w:rPr>
        <w:t xml:space="preserve">  </w:t>
      </w:r>
      <w:r>
        <w:rPr>
          <w:rFonts w:eastAsia="黑体"/>
          <w:sz w:val="28"/>
          <w:szCs w:val="28"/>
          <w:highlight w:val="none"/>
        </w:rPr>
        <w:t>20</w:t>
      </w:r>
      <w:r>
        <w:rPr>
          <w:rFonts w:hint="eastAsia" w:eastAsia="黑体"/>
          <w:sz w:val="28"/>
          <w:szCs w:val="28"/>
          <w:highlight w:val="none"/>
          <w:lang w:val="en-US" w:eastAsia="zh-CN"/>
        </w:rPr>
        <w:t>2</w:t>
      </w:r>
      <w:r>
        <w:rPr>
          <w:rFonts w:hint="eastAsia" w:ascii="黑体" w:hAnsi="黑体" w:eastAsia="黑体"/>
          <w:sz w:val="28"/>
          <w:szCs w:val="28"/>
          <w:highlight w:val="none"/>
          <w:lang w:val="en-US" w:eastAsia="zh-CN"/>
        </w:rPr>
        <w:t>X</w:t>
      </w:r>
      <w:r>
        <w:rPr>
          <w:rFonts w:eastAsia="黑体"/>
          <w:sz w:val="28"/>
          <w:szCs w:val="28"/>
          <w:highlight w:val="none"/>
        </w:rPr>
        <w:t>-</w:t>
      </w:r>
      <w:r>
        <w:rPr>
          <w:rFonts w:hint="eastAsia" w:ascii="黑体" w:hAnsi="黑体" w:eastAsia="黑体"/>
          <w:sz w:val="28"/>
          <w:szCs w:val="28"/>
          <w:highlight w:val="none"/>
          <w:lang w:val="en-US" w:eastAsia="zh-CN"/>
        </w:rPr>
        <w:t>XX</w:t>
      </w:r>
      <w:r>
        <w:rPr>
          <w:rFonts w:eastAsia="黑体"/>
          <w:sz w:val="28"/>
          <w:szCs w:val="28"/>
          <w:highlight w:val="none"/>
        </w:rPr>
        <w:t>-</w:t>
      </w:r>
      <w:r>
        <w:rPr>
          <w:rFonts w:hint="eastAsia" w:ascii="黑体" w:hAnsi="黑体" w:eastAsia="黑体"/>
          <w:sz w:val="28"/>
          <w:szCs w:val="28"/>
          <w:highlight w:val="none"/>
          <w:lang w:val="en-US" w:eastAsia="zh-CN"/>
        </w:rPr>
        <w:t>XX</w:t>
      </w:r>
      <w:r>
        <w:rPr>
          <w:rFonts w:eastAsia="黑体"/>
          <w:sz w:val="28"/>
          <w:szCs w:val="28"/>
          <w:highlight w:val="none"/>
        </w:rPr>
        <w:t xml:space="preserve">  发布                  </w:t>
      </w:r>
      <w:r>
        <w:rPr>
          <w:rFonts w:hint="eastAsia" w:eastAsia="黑体"/>
          <w:sz w:val="28"/>
          <w:szCs w:val="28"/>
          <w:highlight w:val="none"/>
          <w:lang w:val="en-US" w:eastAsia="zh-CN"/>
        </w:rPr>
        <w:t xml:space="preserve">           </w:t>
      </w:r>
      <w:r>
        <w:rPr>
          <w:rFonts w:eastAsia="黑体"/>
          <w:sz w:val="28"/>
          <w:szCs w:val="28"/>
          <w:highlight w:val="none"/>
        </w:rPr>
        <w:t xml:space="preserve"> 20</w:t>
      </w:r>
      <w:r>
        <w:rPr>
          <w:rFonts w:hint="eastAsia" w:eastAsia="黑体"/>
          <w:sz w:val="28"/>
          <w:szCs w:val="28"/>
          <w:highlight w:val="none"/>
          <w:lang w:val="en-US" w:eastAsia="zh-CN"/>
        </w:rPr>
        <w:t>2</w:t>
      </w:r>
      <w:r>
        <w:rPr>
          <w:rFonts w:hint="eastAsia" w:ascii="黑体" w:hAnsi="黑体" w:eastAsia="黑体"/>
          <w:sz w:val="28"/>
          <w:szCs w:val="28"/>
          <w:highlight w:val="none"/>
          <w:lang w:val="en-US" w:eastAsia="zh-CN"/>
        </w:rPr>
        <w:t>X</w:t>
      </w:r>
      <w:r>
        <w:rPr>
          <w:rFonts w:eastAsia="黑体"/>
          <w:sz w:val="28"/>
          <w:szCs w:val="28"/>
          <w:highlight w:val="none"/>
        </w:rPr>
        <w:t>-</w:t>
      </w:r>
      <w:r>
        <w:rPr>
          <w:rFonts w:hint="eastAsia" w:ascii="黑体" w:hAnsi="黑体" w:eastAsia="黑体"/>
          <w:sz w:val="28"/>
          <w:szCs w:val="28"/>
          <w:highlight w:val="none"/>
          <w:lang w:val="en-US" w:eastAsia="zh-CN"/>
        </w:rPr>
        <w:t>XX</w:t>
      </w:r>
      <w:r>
        <w:rPr>
          <w:rFonts w:eastAsia="黑体"/>
          <w:sz w:val="28"/>
          <w:szCs w:val="28"/>
          <w:highlight w:val="none"/>
        </w:rPr>
        <w:t>-</w:t>
      </w:r>
      <w:r>
        <w:rPr>
          <w:rFonts w:hint="eastAsia" w:ascii="黑体" w:hAnsi="黑体" w:eastAsia="黑体"/>
          <w:sz w:val="28"/>
          <w:szCs w:val="28"/>
          <w:highlight w:val="none"/>
          <w:lang w:val="en-US" w:eastAsia="zh-CN"/>
        </w:rPr>
        <w:t>XX</w:t>
      </w:r>
      <w:r>
        <w:rPr>
          <w:rFonts w:hint="eastAsia" w:eastAsia="黑体"/>
          <w:sz w:val="28"/>
          <w:szCs w:val="28"/>
          <w:highlight w:val="none"/>
        </w:rPr>
        <w:t xml:space="preserve">  </w:t>
      </w:r>
      <w:r>
        <w:rPr>
          <w:rFonts w:eastAsia="黑体"/>
          <w:sz w:val="28"/>
          <w:szCs w:val="28"/>
          <w:highlight w:val="none"/>
        </w:rPr>
        <w:t>实施</w:t>
      </w:r>
    </w:p>
    <w:p>
      <w:pPr>
        <w:tabs>
          <w:tab w:val="left" w:pos="8235"/>
        </w:tabs>
        <w:rPr>
          <w:rFonts w:eastAsia="黑体"/>
          <w:b/>
          <w:sz w:val="28"/>
          <w:szCs w:val="28"/>
          <w:highlight w:val="none"/>
        </w:rPr>
      </w:pPr>
      <w:r>
        <w:rPr>
          <w:rFonts w:eastAsia="黑体"/>
          <w:b/>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154940</wp:posOffset>
                </wp:positionH>
                <wp:positionV relativeFrom="paragraph">
                  <wp:posOffset>69850</wp:posOffset>
                </wp:positionV>
                <wp:extent cx="5600700" cy="26670"/>
                <wp:effectExtent l="0" t="4445" r="7620" b="14605"/>
                <wp:wrapNone/>
                <wp:docPr id="5" name="直线 5"/>
                <wp:cNvGraphicFramePr/>
                <a:graphic xmlns:a="http://schemas.openxmlformats.org/drawingml/2006/main">
                  <a:graphicData uri="http://schemas.microsoft.com/office/word/2010/wordprocessingShape">
                    <wps:wsp>
                      <wps:cNvCnPr/>
                      <wps:spPr>
                        <a:xfrm>
                          <a:off x="0" y="0"/>
                          <a:ext cx="5600700" cy="266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12.2pt;margin-top:5.5pt;height:2.1pt;width:441pt;z-index:251662336;mso-width-relative:page;mso-height-relative:page;" filled="f" stroked="t" coordsize="21600,21600" o:gfxdata="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pv1&#10;VdUAAAAIAQAADwAAAAAAAAABACAAAAAiAAAAZHJzL2Rvd25yZXYueG1sUEsBAhQAFAAAAAgAh07i&#10;QODbSObsAQAA3wMAAA4AAAAAAAAAAQAgAAAAJAEAAGRycy9lMm9Eb2MueG1sUEsFBgAAAAAGAAYA&#10;WQEAAIIFAAAAAA==&#10;">
                <v:fill on="f" focussize="0,0"/>
                <v:stroke color="#000000" joinstyle="round"/>
                <v:imagedata o:title=""/>
                <o:lock v:ext="edit" aspectratio="f"/>
              </v:line>
            </w:pict>
          </mc:Fallback>
        </mc:AlternateContent>
      </w:r>
      <w:r>
        <w:rPr>
          <w:rFonts w:eastAsia="黑体"/>
          <w:b/>
          <w:sz w:val="28"/>
          <w:szCs w:val="28"/>
          <w:highlight w:val="none"/>
        </w:rPr>
        <w:tab/>
      </w:r>
    </w:p>
    <w:p>
      <w:pPr>
        <w:jc w:val="center"/>
        <w:outlineLvl w:val="0"/>
        <w:rPr>
          <w:highlight w:val="none"/>
        </w:rPr>
      </w:pPr>
      <w:bookmarkStart w:id="4" w:name="_Toc28113"/>
      <w:r>
        <w:rPr>
          <w:rFonts w:eastAsia="黑体"/>
          <w:sz w:val="32"/>
          <w:szCs w:val="32"/>
          <w:highlight w:val="none"/>
        </w:rPr>
        <w:t>广东省住房和城乡建设厅</w:t>
      </w:r>
      <w:r>
        <w:rPr>
          <w:rFonts w:hint="eastAsia" w:eastAsia="黑体"/>
          <w:sz w:val="32"/>
          <w:szCs w:val="32"/>
          <w:highlight w:val="none"/>
          <w:lang w:val="en-US" w:eastAsia="zh-CN"/>
        </w:rPr>
        <w:t xml:space="preserve">  广东省市场监督管理局</w:t>
      </w:r>
      <w:bookmarkEnd w:id="4"/>
    </w:p>
    <w:p>
      <w:pPr>
        <w:jc w:val="right"/>
        <w:rPr>
          <w:highlight w:val="none"/>
        </w:rPr>
      </w:pPr>
      <w:r>
        <w:rPr>
          <w:rFonts w:hint="eastAsia" w:eastAsia="黑体"/>
          <w:spacing w:val="20"/>
          <w:sz w:val="28"/>
          <w:szCs w:val="28"/>
          <w:highlight w:val="none"/>
          <w:lang w:val="en-US" w:eastAsia="zh-CN"/>
        </w:rPr>
        <w:t>联合发布</w:t>
      </w:r>
    </w:p>
    <w:p>
      <w:pPr>
        <w:pStyle w:val="57"/>
        <w:jc w:val="right"/>
        <w:rPr>
          <w:color w:val="auto"/>
          <w:highlight w:val="none"/>
        </w:rPr>
      </w:pPr>
      <w:r>
        <w:rPr>
          <w:rFonts w:hint="eastAsia"/>
          <w:highlight w:val="none"/>
          <w:lang w:eastAsia="zh-CN"/>
        </w:rPr>
        <w:t>本标准不涉及专利</w: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8890000</wp:posOffset>
                </wp:positionV>
                <wp:extent cx="6121400" cy="0"/>
                <wp:effectExtent l="0" t="6350" r="0" b="6350"/>
                <wp:wrapNone/>
                <wp:docPr id="2" name="直线 6"/>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pt;margin-top:700pt;height:0pt;width:482pt;z-index:251660288;mso-width-relative:page;mso-height-relative:page;" filled="f" stroked="t" coordsize="21600,21600" o:gfxdata="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bDfv7VAAAA&#10;CgEAAA8AAAAAAAAAAQAgAAAAIgAAAGRycy9kb3ducmV2LnhtbFBLAQIUABQAAAAIAIdO4kDkYEgL&#10;5wEAANwDAAAOAAAAAAAAAAEAIAAAACQBAABkcnMvZTJvRG9jLnhtbFBLBQYAAAAABgAGAFkBAAB9&#10;BQAAAAA=&#10;">
                <v:fill on="f" focussize="0,0"/>
                <v:stroke weight="1pt" color="#000000" joinstyle="round"/>
                <v:imagedata o:title=""/>
                <o:lock v:ext="edit" aspectratio="f"/>
              </v:line>
            </w:pict>
          </mc:Fallback>
        </mc:AlternateContent>
      </w:r>
    </w:p>
    <w:p>
      <w:pPr>
        <w:rPr>
          <w:color w:val="auto"/>
          <w:highlight w:val="none"/>
        </w:rPr>
      </w:pPr>
    </w:p>
    <w:p>
      <w:pPr>
        <w:rPr>
          <w:rFonts w:hint="eastAsia"/>
          <w:color w:val="auto"/>
          <w:highlight w:val="none"/>
        </w:rPr>
        <w:sectPr>
          <w:headerReference r:id="rId5" w:type="first"/>
          <w:footerReference r:id="rId6" w:type="first"/>
          <w:headerReference r:id="rId3" w:type="default"/>
          <w:headerReference r:id="rId4" w:type="even"/>
          <w:pgSz w:w="11907" w:h="16839"/>
          <w:pgMar w:top="1427" w:right="851" w:bottom="1361" w:left="1418" w:header="0" w:footer="0" w:gutter="0"/>
          <w:pgBorders>
            <w:top w:val="none" w:sz="0" w:space="0"/>
            <w:left w:val="none" w:sz="0" w:space="0"/>
            <w:bottom w:val="none" w:sz="0" w:space="0"/>
            <w:right w:val="none" w:sz="0" w:space="0"/>
          </w:pgBorders>
          <w:pgNumType w:fmt="upperRoman" w:start="1"/>
          <w:cols w:space="720" w:num="1"/>
          <w:titlePg/>
          <w:docGrid w:type="lines" w:linePitch="312" w:charSpace="0"/>
        </w:sect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1609725</wp:posOffset>
                </wp:positionV>
                <wp:extent cx="6121400" cy="0"/>
                <wp:effectExtent l="0" t="6350" r="0" b="6350"/>
                <wp:wrapNone/>
                <wp:docPr id="1" name="直线 7"/>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0pt;margin-top:126.75pt;height:0pt;width:482pt;z-index:251659264;mso-width-relative:page;mso-height-relative:page;" filled="f" stroked="t" coordsize="21600,21600" o:gfxdata="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78hb21wAA&#10;AAgBAAAPAAAAAAAAAAEAIAAAACIAAABkcnMvZG93bnJldi54bWxQSwECFAAUAAAACACHTuJA1v61&#10;NeYBAADcAwAADgAAAAAAAAABACAAAAAmAQAAZHJzL2Uyb0RvYy54bWxQSwUGAAAAAAYABgBZAQAA&#10;fgUAAAAA&#10;">
                <v:fill on="f" focussize="0,0"/>
                <v:stroke weight="1pt" color="#000000" joinstyle="round"/>
                <v:imagedata o:title=""/>
                <o:lock v:ext="edit" aspectratio="f"/>
              </v:line>
            </w:pict>
          </mc:Fallback>
        </mc:AlternateContent>
      </w:r>
    </w:p>
    <w:p>
      <w:pPr>
        <w:pStyle w:val="2"/>
        <w:bidi w:val="0"/>
        <w:jc w:val="center"/>
        <w:rPr>
          <w:rFonts w:hint="eastAsia"/>
          <w:color w:val="auto"/>
          <w:sz w:val="44"/>
          <w:szCs w:val="44"/>
          <w:highlight w:val="none"/>
        </w:rPr>
      </w:pPr>
      <w:bookmarkStart w:id="5" w:name="_Toc5699"/>
      <w:r>
        <w:rPr>
          <w:rFonts w:hint="eastAsia"/>
          <w:sz w:val="44"/>
          <w:szCs w:val="44"/>
          <w:highlight w:val="none"/>
        </w:rPr>
        <w:t>广东省住房和城乡建设厅关于发布广东省标准《</w:t>
      </w:r>
      <w:r>
        <w:rPr>
          <w:rFonts w:hint="eastAsia"/>
          <w:sz w:val="44"/>
          <w:szCs w:val="44"/>
          <w:highlight w:val="none"/>
          <w:lang w:val="en-US" w:eastAsia="zh-CN"/>
        </w:rPr>
        <w:t>电力工业物业管理服务标准</w:t>
      </w:r>
      <w:r>
        <w:rPr>
          <w:rFonts w:hint="eastAsia"/>
          <w:sz w:val="44"/>
          <w:szCs w:val="44"/>
          <w:highlight w:val="none"/>
        </w:rPr>
        <w:t>》的公告</w:t>
      </w:r>
      <w:bookmarkEnd w:id="5"/>
    </w:p>
    <w:p>
      <w:pPr>
        <w:pStyle w:val="59"/>
        <w:tabs>
          <w:tab w:val="center" w:pos="4201"/>
          <w:tab w:val="right" w:leader="dot" w:pos="9298"/>
        </w:tabs>
        <w:ind w:left="0" w:leftChars="0" w:firstLine="0" w:firstLineChars="0"/>
        <w:jc w:val="center"/>
        <w:outlineLvl w:val="0"/>
        <w:rPr>
          <w:rFonts w:hint="eastAsia" w:ascii="黑体" w:hAnsi="黑体" w:eastAsia="黑体" w:cs="黑体"/>
          <w:color w:val="auto"/>
          <w:highlight w:val="none"/>
        </w:rPr>
      </w:pPr>
      <w:bookmarkStart w:id="6" w:name="_Toc8637"/>
      <w:r>
        <w:rPr>
          <w:rFonts w:hint="eastAsia" w:ascii="宋体" w:hAnsi="宋体" w:eastAsia="宋体" w:cs="宋体"/>
          <w:color w:val="auto"/>
          <w:sz w:val="24"/>
          <w:szCs w:val="24"/>
          <w:highlight w:val="none"/>
        </w:rPr>
        <w:t>粤建公告</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XX]XX</w:t>
      </w:r>
      <w:r>
        <w:rPr>
          <w:rFonts w:hint="eastAsia" w:ascii="宋体" w:hAnsi="宋体" w:eastAsia="宋体" w:cs="宋体"/>
          <w:color w:val="auto"/>
          <w:sz w:val="24"/>
          <w:szCs w:val="24"/>
          <w:highlight w:val="none"/>
        </w:rPr>
        <w:t>号</w:t>
      </w:r>
      <w:bookmarkEnd w:id="6"/>
    </w:p>
    <w:p>
      <w:pPr>
        <w:pStyle w:val="59"/>
        <w:tabs>
          <w:tab w:val="center" w:pos="4201"/>
          <w:tab w:val="right" w:leader="dot" w:pos="9298"/>
        </w:tabs>
        <w:ind w:left="0" w:leftChars="0" w:firstLine="0" w:firstLineChars="0"/>
        <w:jc w:val="center"/>
        <w:rPr>
          <w:rFonts w:hint="eastAsia" w:ascii="黑体" w:hAnsi="黑体" w:eastAsia="黑体" w:cs="黑体"/>
          <w:color w:val="auto"/>
          <w:highlight w:val="none"/>
        </w:rPr>
      </w:pPr>
    </w:p>
    <w:p>
      <w:pPr>
        <w:pStyle w:val="59"/>
        <w:tabs>
          <w:tab w:val="center" w:pos="4201"/>
          <w:tab w:val="right" w:leader="dot" w:pos="9298"/>
        </w:tabs>
        <w:ind w:left="0" w:leftChars="0" w:firstLine="0" w:firstLineChars="0"/>
        <w:jc w:val="center"/>
        <w:rPr>
          <w:rFonts w:hint="eastAsia" w:ascii="黑体" w:hAnsi="黑体" w:eastAsia="黑体" w:cs="黑体"/>
          <w:color w:val="auto"/>
          <w:highlight w:val="none"/>
        </w:rPr>
      </w:pPr>
    </w:p>
    <w:p>
      <w:pPr>
        <w:pStyle w:val="59"/>
        <w:tabs>
          <w:tab w:val="center" w:pos="4201"/>
          <w:tab w:val="right" w:leader="dot" w:pos="9298"/>
        </w:tabs>
        <w:autoSpaceDE/>
        <w:autoSpaceDN/>
        <w:spacing w:line="360" w:lineRule="auto"/>
        <w:rPr>
          <w:rFonts w:hint="eastAsia" w:hAnsi="宋体" w:cs="宋体"/>
          <w:color w:val="auto"/>
          <w:sz w:val="24"/>
          <w:szCs w:val="24"/>
          <w:highlight w:val="none"/>
          <w:lang w:eastAsia="zh-CN"/>
        </w:rPr>
      </w:pPr>
      <w:r>
        <w:rPr>
          <w:rFonts w:hint="eastAsia" w:hAnsi="宋体" w:cs="宋体"/>
          <w:color w:val="auto"/>
          <w:sz w:val="24"/>
          <w:szCs w:val="24"/>
          <w:highlight w:val="none"/>
        </w:rPr>
        <w:t>经组织专家委员会审查，现批准《电力工业物业管理服务标准》为广东省地方标准，编号为DBJ/T</w:t>
      </w:r>
      <w:r>
        <w:rPr>
          <w:rFonts w:hint="eastAsia" w:hAnsi="宋体" w:cs="宋体"/>
          <w:color w:val="auto"/>
          <w:sz w:val="24"/>
          <w:szCs w:val="24"/>
          <w:highlight w:val="none"/>
          <w:lang w:val="en-US" w:eastAsia="zh-CN"/>
        </w:rPr>
        <w:t>XX</w:t>
      </w:r>
      <w:r>
        <w:rPr>
          <w:rFonts w:hint="eastAsia" w:hAnsi="宋体" w:cs="宋体"/>
          <w:color w:val="auto"/>
          <w:sz w:val="24"/>
          <w:szCs w:val="24"/>
          <w:highlight w:val="none"/>
        </w:rPr>
        <w:t>-</w:t>
      </w:r>
      <w:r>
        <w:rPr>
          <w:rFonts w:hint="eastAsia" w:hAnsi="宋体" w:cs="宋体"/>
          <w:color w:val="auto"/>
          <w:sz w:val="24"/>
          <w:szCs w:val="24"/>
          <w:highlight w:val="none"/>
          <w:lang w:val="en-US" w:eastAsia="zh-CN"/>
        </w:rPr>
        <w:t>XXX</w:t>
      </w:r>
      <w:r>
        <w:rPr>
          <w:rFonts w:hint="eastAsia" w:hAnsi="宋体" w:cs="宋体"/>
          <w:color w:val="auto"/>
          <w:sz w:val="24"/>
          <w:szCs w:val="24"/>
          <w:highlight w:val="none"/>
        </w:rPr>
        <w:t>。本标准自20</w:t>
      </w:r>
      <w:r>
        <w:rPr>
          <w:rFonts w:hint="eastAsia" w:hAnsi="宋体" w:cs="宋体"/>
          <w:color w:val="auto"/>
          <w:sz w:val="24"/>
          <w:szCs w:val="24"/>
          <w:highlight w:val="none"/>
          <w:lang w:val="en-US" w:eastAsia="zh-CN"/>
        </w:rPr>
        <w:t>XX</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XX</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XX</w:t>
      </w:r>
      <w:r>
        <w:rPr>
          <w:rFonts w:hint="eastAsia" w:hAnsi="宋体" w:cs="宋体"/>
          <w:color w:val="auto"/>
          <w:sz w:val="24"/>
          <w:szCs w:val="24"/>
          <w:highlight w:val="none"/>
        </w:rPr>
        <w:t>日起实施</w:t>
      </w:r>
      <w:r>
        <w:rPr>
          <w:rFonts w:hint="eastAsia" w:hAnsi="宋体" w:cs="宋体"/>
          <w:color w:val="auto"/>
          <w:sz w:val="24"/>
          <w:szCs w:val="24"/>
          <w:highlight w:val="none"/>
          <w:lang w:eastAsia="zh-CN"/>
        </w:rPr>
        <w:t>。</w:t>
      </w:r>
    </w:p>
    <w:p>
      <w:pPr>
        <w:pStyle w:val="59"/>
        <w:tabs>
          <w:tab w:val="center" w:pos="4201"/>
          <w:tab w:val="right" w:leader="dot" w:pos="9298"/>
        </w:tabs>
        <w:autoSpaceDE/>
        <w:autoSpaceDN/>
        <w:spacing w:line="360" w:lineRule="auto"/>
        <w:rPr>
          <w:rFonts w:hint="eastAsia" w:hAnsi="宋体" w:cs="宋体"/>
          <w:color w:val="auto"/>
          <w:sz w:val="24"/>
          <w:szCs w:val="24"/>
          <w:highlight w:val="none"/>
        </w:rPr>
      </w:pPr>
      <w:r>
        <w:rPr>
          <w:rFonts w:hint="eastAsia" w:hAnsi="宋体" w:cs="宋体"/>
          <w:color w:val="auto"/>
          <w:sz w:val="24"/>
          <w:szCs w:val="24"/>
          <w:highlight w:val="none"/>
        </w:rPr>
        <w:t>本标准由广东省住房和城乡建设厅负责管理，由</w:t>
      </w:r>
      <w:r>
        <w:rPr>
          <w:rFonts w:hint="eastAsia"/>
          <w:color w:val="auto"/>
          <w:sz w:val="24"/>
          <w:szCs w:val="24"/>
          <w:highlight w:val="none"/>
        </w:rPr>
        <w:t>广东省物业管理行业协会、南网物业管理（广州）有限责任公司</w:t>
      </w:r>
      <w:r>
        <w:rPr>
          <w:rFonts w:hint="eastAsia" w:hAnsi="宋体" w:cs="宋体"/>
          <w:color w:val="auto"/>
          <w:sz w:val="24"/>
          <w:szCs w:val="24"/>
          <w:highlight w:val="none"/>
        </w:rPr>
        <w:t>负责具体技术内容的解释，并在广东省住房和城乡建设厅门户网站(h</w:t>
      </w:r>
      <w:r>
        <w:rPr>
          <w:rFonts w:hint="eastAsia" w:hAnsi="宋体" w:cs="宋体"/>
          <w:color w:val="auto"/>
          <w:sz w:val="24"/>
          <w:szCs w:val="24"/>
          <w:highlight w:val="none"/>
          <w:lang w:val="en-US" w:eastAsia="zh-CN"/>
        </w:rPr>
        <w:t>tt</w:t>
      </w:r>
      <w:r>
        <w:rPr>
          <w:rFonts w:hint="eastAsia" w:hAnsi="宋体" w:cs="宋体"/>
          <w:color w:val="auto"/>
          <w:sz w:val="24"/>
          <w:szCs w:val="24"/>
          <w:highlight w:val="none"/>
        </w:rPr>
        <w:t>p://zfcxjst.gd.gov.cn)公开。</w:t>
      </w:r>
    </w:p>
    <w:p>
      <w:pPr>
        <w:pStyle w:val="59"/>
        <w:tabs>
          <w:tab w:val="center" w:pos="4201"/>
          <w:tab w:val="right" w:leader="dot" w:pos="9298"/>
        </w:tabs>
        <w:autoSpaceDE/>
        <w:autoSpaceDN/>
        <w:rPr>
          <w:rFonts w:hint="eastAsia" w:hAnsi="宋体" w:cs="宋体"/>
          <w:color w:val="auto"/>
          <w:szCs w:val="21"/>
          <w:highlight w:val="none"/>
        </w:rPr>
      </w:pPr>
    </w:p>
    <w:p>
      <w:pPr>
        <w:pStyle w:val="59"/>
        <w:tabs>
          <w:tab w:val="center" w:pos="4201"/>
          <w:tab w:val="right" w:leader="dot" w:pos="9298"/>
        </w:tabs>
        <w:autoSpaceDE/>
        <w:autoSpaceDN/>
        <w:rPr>
          <w:rFonts w:hint="eastAsia" w:hAnsi="宋体" w:cs="宋体"/>
          <w:color w:val="auto"/>
          <w:szCs w:val="21"/>
          <w:highlight w:val="none"/>
        </w:rPr>
      </w:pPr>
    </w:p>
    <w:p>
      <w:pPr>
        <w:pStyle w:val="59"/>
        <w:tabs>
          <w:tab w:val="center" w:pos="4201"/>
          <w:tab w:val="right" w:leader="dot" w:pos="9298"/>
        </w:tabs>
        <w:autoSpaceDE/>
        <w:autoSpaceDN/>
        <w:rPr>
          <w:rFonts w:hint="eastAsia" w:hAnsi="宋体" w:cs="宋体"/>
          <w:color w:val="auto"/>
          <w:szCs w:val="21"/>
          <w:highlight w:val="none"/>
        </w:rPr>
      </w:pPr>
    </w:p>
    <w:p>
      <w:pPr>
        <w:pStyle w:val="59"/>
        <w:tabs>
          <w:tab w:val="center" w:pos="4201"/>
          <w:tab w:val="right" w:leader="dot" w:pos="9298"/>
        </w:tabs>
        <w:autoSpaceDE/>
        <w:autoSpaceDN/>
        <w:rPr>
          <w:rFonts w:hint="eastAsia" w:hAnsi="宋体" w:cs="宋体"/>
          <w:color w:val="auto"/>
          <w:szCs w:val="21"/>
          <w:highlight w:val="none"/>
        </w:rPr>
      </w:pPr>
    </w:p>
    <w:p>
      <w:pPr>
        <w:pStyle w:val="59"/>
        <w:tabs>
          <w:tab w:val="center" w:pos="4201"/>
          <w:tab w:val="right" w:leader="dot" w:pos="9298"/>
        </w:tabs>
        <w:autoSpaceDE/>
        <w:autoSpaceDN/>
        <w:rPr>
          <w:rFonts w:hint="eastAsia" w:hAnsi="宋体" w:cs="宋体"/>
          <w:color w:val="auto"/>
          <w:szCs w:val="21"/>
          <w:highlight w:val="none"/>
        </w:rPr>
      </w:pPr>
    </w:p>
    <w:p>
      <w:pPr>
        <w:pStyle w:val="59"/>
        <w:tabs>
          <w:tab w:val="center" w:pos="4201"/>
          <w:tab w:val="right" w:leader="dot" w:pos="9298"/>
        </w:tabs>
        <w:autoSpaceDE/>
        <w:autoSpaceDN/>
        <w:rPr>
          <w:rFonts w:hint="eastAsia" w:hAnsi="宋体" w:cs="宋体"/>
          <w:color w:val="auto"/>
          <w:szCs w:val="21"/>
          <w:highlight w:val="none"/>
        </w:rPr>
      </w:pPr>
    </w:p>
    <w:p>
      <w:pPr>
        <w:pStyle w:val="59"/>
        <w:tabs>
          <w:tab w:val="center" w:pos="4201"/>
          <w:tab w:val="right" w:leader="dot" w:pos="9298"/>
        </w:tabs>
        <w:autoSpaceDE/>
        <w:autoSpaceDN/>
        <w:spacing w:line="360" w:lineRule="auto"/>
        <w:jc w:val="right"/>
        <w:outlineLvl w:val="0"/>
        <w:rPr>
          <w:rFonts w:hint="eastAsia" w:hAnsi="宋体" w:cs="宋体"/>
          <w:color w:val="auto"/>
          <w:sz w:val="24"/>
          <w:szCs w:val="24"/>
          <w:highlight w:val="none"/>
        </w:rPr>
      </w:pPr>
      <w:bookmarkStart w:id="7" w:name="_Toc18570"/>
      <w:r>
        <w:rPr>
          <w:rFonts w:hint="eastAsia" w:hAnsi="宋体" w:cs="宋体"/>
          <w:color w:val="auto"/>
          <w:sz w:val="24"/>
          <w:szCs w:val="24"/>
          <w:highlight w:val="none"/>
        </w:rPr>
        <w:t>广东省住房和城乡建设厅</w:t>
      </w:r>
      <w:bookmarkEnd w:id="7"/>
    </w:p>
    <w:p>
      <w:pPr>
        <w:pStyle w:val="59"/>
        <w:tabs>
          <w:tab w:val="center" w:pos="4201"/>
          <w:tab w:val="right" w:leader="dot" w:pos="9298"/>
        </w:tabs>
        <w:autoSpaceDE/>
        <w:autoSpaceDN/>
        <w:spacing w:line="360" w:lineRule="auto"/>
        <w:jc w:val="right"/>
        <w:outlineLvl w:val="0"/>
        <w:rPr>
          <w:rFonts w:hint="eastAsia" w:hAnsi="宋体" w:cs="宋体"/>
          <w:color w:val="auto"/>
          <w:sz w:val="24"/>
          <w:szCs w:val="24"/>
          <w:highlight w:val="none"/>
        </w:rPr>
        <w:sectPr>
          <w:footerReference r:id="rId7" w:type="default"/>
          <w:footerReference r:id="rId8" w:type="even"/>
          <w:pgSz w:w="11906" w:h="16838"/>
          <w:pgMar w:top="1417" w:right="1134" w:bottom="1134" w:left="1416" w:header="1418" w:footer="1134" w:gutter="0"/>
          <w:pgBorders>
            <w:top w:val="none" w:sz="0" w:space="0"/>
            <w:left w:val="none" w:sz="0" w:space="0"/>
            <w:bottom w:val="none" w:sz="0" w:space="0"/>
            <w:right w:val="none" w:sz="0" w:space="0"/>
          </w:pgBorders>
          <w:pgNumType w:fmt="upperRoman" w:start="1"/>
          <w:cols w:space="720" w:num="1"/>
          <w:docGrid w:type="lines" w:linePitch="312" w:charSpace="0"/>
        </w:sectPr>
      </w:pPr>
      <w:bookmarkStart w:id="8" w:name="_Toc12648"/>
      <w:r>
        <w:rPr>
          <w:rFonts w:hint="eastAsia" w:hAnsi="宋体" w:cs="宋体"/>
          <w:color w:val="auto"/>
          <w:sz w:val="24"/>
          <w:szCs w:val="24"/>
          <w:highlight w:val="none"/>
        </w:rPr>
        <w:t>20</w:t>
      </w:r>
      <w:r>
        <w:rPr>
          <w:rFonts w:hint="eastAsia" w:hAnsi="宋体" w:cs="宋体"/>
          <w:color w:val="auto"/>
          <w:sz w:val="24"/>
          <w:szCs w:val="24"/>
          <w:highlight w:val="none"/>
          <w:lang w:val="en-US" w:eastAsia="zh-CN"/>
        </w:rPr>
        <w:t>XX</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XX</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XX</w:t>
      </w:r>
      <w:r>
        <w:rPr>
          <w:rFonts w:hint="eastAsia" w:hAnsi="宋体" w:cs="宋体"/>
          <w:color w:val="auto"/>
          <w:sz w:val="24"/>
          <w:szCs w:val="24"/>
          <w:highlight w:val="none"/>
        </w:rPr>
        <w:t>日</w:t>
      </w:r>
      <w:bookmarkEnd w:id="8"/>
    </w:p>
    <w:p>
      <w:pPr>
        <w:pStyle w:val="58"/>
        <w:spacing w:before="850" w:after="680"/>
        <w:rPr>
          <w:rFonts w:hint="eastAsia" w:asciiTheme="majorEastAsia" w:hAnsiTheme="majorEastAsia" w:eastAsiaTheme="majorEastAsia" w:cstheme="majorEastAsia"/>
          <w:b/>
          <w:bCs/>
          <w:color w:val="auto"/>
          <w:sz w:val="28"/>
          <w:szCs w:val="28"/>
          <w:highlight w:val="none"/>
        </w:rPr>
      </w:pPr>
      <w:bookmarkStart w:id="9" w:name="_Toc29747"/>
      <w:r>
        <w:rPr>
          <w:rFonts w:hint="eastAsia" w:asciiTheme="majorEastAsia" w:hAnsiTheme="majorEastAsia" w:eastAsiaTheme="majorEastAsia" w:cstheme="majorEastAsia"/>
          <w:b/>
          <w:bCs/>
          <w:color w:val="auto"/>
          <w:sz w:val="28"/>
          <w:szCs w:val="28"/>
          <w:highlight w:val="none"/>
        </w:rPr>
        <w:t>前    言</w:t>
      </w:r>
      <w:bookmarkEnd w:id="9"/>
    </w:p>
    <w:p>
      <w:pPr>
        <w:pStyle w:val="59"/>
        <w:keepNext w:val="0"/>
        <w:keepLines w:val="0"/>
        <w:pageBreakBefore w:val="0"/>
        <w:widowControl/>
        <w:tabs>
          <w:tab w:val="center" w:pos="4201"/>
          <w:tab w:val="right" w:leader="dot" w:pos="9298"/>
        </w:tabs>
        <w:kinsoku/>
        <w:wordWrap/>
        <w:overflowPunct/>
        <w:topLinePunct w:val="0"/>
        <w:autoSpaceDE/>
        <w:autoSpaceDN/>
        <w:bidi w:val="0"/>
        <w:adjustRightInd/>
        <w:snapToGrid/>
        <w:spacing w:line="360" w:lineRule="auto"/>
        <w:textAlignment w:val="auto"/>
        <w:rPr>
          <w:rFonts w:hint="eastAsia" w:hAnsi="宋体" w:cs="宋体"/>
          <w:color w:val="auto"/>
          <w:sz w:val="24"/>
          <w:szCs w:val="24"/>
          <w:highlight w:val="none"/>
        </w:rPr>
      </w:pPr>
      <w:r>
        <w:rPr>
          <w:rFonts w:hint="eastAsia" w:hAnsi="宋体" w:cs="宋体"/>
          <w:color w:val="auto"/>
          <w:sz w:val="24"/>
          <w:szCs w:val="24"/>
          <w:highlight w:val="none"/>
        </w:rPr>
        <w:t>根据广东省市场监督管理局《关于批准下达2023年第二批广东省地方标准制修订计划的通知》(粤市监标准 【2023】 591号)文的要求，编制组经广泛调查研究，认真总结实践经验，参考有关国内外标准，并在广泛征求意见的基础上，制定了本</w:t>
      </w:r>
      <w:r>
        <w:rPr>
          <w:rFonts w:hint="eastAsia" w:hAnsi="宋体" w:cs="宋体"/>
          <w:color w:val="auto"/>
          <w:sz w:val="24"/>
          <w:szCs w:val="24"/>
          <w:highlight w:val="none"/>
          <w:lang w:eastAsia="zh-CN"/>
        </w:rPr>
        <w:t>标准</w:t>
      </w:r>
      <w:r>
        <w:rPr>
          <w:rFonts w:hint="eastAsia" w:hAnsi="宋体" w:cs="宋体"/>
          <w:color w:val="auto"/>
          <w:sz w:val="24"/>
          <w:szCs w:val="24"/>
          <w:highlight w:val="none"/>
        </w:rPr>
        <w:t>。</w:t>
      </w:r>
    </w:p>
    <w:p>
      <w:pPr>
        <w:pStyle w:val="59"/>
        <w:keepNext w:val="0"/>
        <w:keepLines w:val="0"/>
        <w:pageBreakBefore w:val="0"/>
        <w:widowControl/>
        <w:tabs>
          <w:tab w:val="center" w:pos="4201"/>
          <w:tab w:val="right" w:leader="dot" w:pos="9298"/>
        </w:tabs>
        <w:kinsoku/>
        <w:wordWrap/>
        <w:overflowPunct/>
        <w:topLinePunct w:val="0"/>
        <w:autoSpaceDE/>
        <w:autoSpaceDN/>
        <w:bidi w:val="0"/>
        <w:adjustRightInd/>
        <w:snapToGrid/>
        <w:spacing w:line="360" w:lineRule="auto"/>
        <w:textAlignment w:val="auto"/>
        <w:rPr>
          <w:rFonts w:hAnsi="宋体" w:cs="宋体"/>
          <w:color w:val="auto"/>
          <w:sz w:val="24"/>
          <w:szCs w:val="24"/>
          <w:highlight w:val="none"/>
        </w:rPr>
      </w:pPr>
      <w:r>
        <w:rPr>
          <w:rFonts w:hint="eastAsia" w:hAnsi="宋体" w:cs="宋体"/>
          <w:color w:val="auto"/>
          <w:sz w:val="24"/>
          <w:szCs w:val="24"/>
          <w:highlight w:val="none"/>
        </w:rPr>
        <w:t>本</w:t>
      </w:r>
      <w:r>
        <w:rPr>
          <w:rFonts w:hint="eastAsia" w:ascii="宋体" w:hAnsi="宋体" w:eastAsia="宋体" w:cs="宋体"/>
          <w:color w:val="auto"/>
          <w:sz w:val="24"/>
          <w:szCs w:val="24"/>
          <w:highlight w:val="none"/>
          <w:lang w:val="en-US" w:eastAsia="zh-CN"/>
        </w:rPr>
        <w:t>标准</w:t>
      </w:r>
      <w:r>
        <w:rPr>
          <w:rFonts w:hint="eastAsia" w:hAnsi="宋体" w:cs="宋体"/>
          <w:color w:val="auto"/>
          <w:sz w:val="24"/>
          <w:szCs w:val="24"/>
          <w:highlight w:val="none"/>
        </w:rPr>
        <w:t>按</w:t>
      </w:r>
      <w:r>
        <w:rPr>
          <w:rFonts w:hAnsi="宋体" w:cs="宋体"/>
          <w:color w:val="auto"/>
          <w:sz w:val="24"/>
          <w:szCs w:val="24"/>
          <w:highlight w:val="none"/>
        </w:rPr>
        <w:t xml:space="preserve">照GB/T 1.1—2020《标准化工作导则 </w:t>
      </w:r>
      <w:r>
        <w:rPr>
          <w:rFonts w:hint="eastAsia" w:hAnsi="宋体" w:cs="宋体"/>
          <w:color w:val="auto"/>
          <w:sz w:val="24"/>
          <w:szCs w:val="24"/>
          <w:highlight w:val="none"/>
          <w:lang w:val="en-US" w:eastAsia="zh-CN"/>
        </w:rPr>
        <w:t xml:space="preserve"> </w:t>
      </w:r>
      <w:r>
        <w:rPr>
          <w:rFonts w:hAnsi="宋体" w:cs="宋体"/>
          <w:color w:val="auto"/>
          <w:sz w:val="24"/>
          <w:szCs w:val="24"/>
          <w:highlight w:val="none"/>
        </w:rPr>
        <w:t>第1部分</w:t>
      </w:r>
      <w:r>
        <w:rPr>
          <w:rFonts w:hint="eastAsia" w:hAnsi="宋体" w:cs="宋体"/>
          <w:color w:val="auto"/>
          <w:sz w:val="24"/>
          <w:szCs w:val="24"/>
          <w:highlight w:val="none"/>
          <w:lang w:eastAsia="zh-CN"/>
        </w:rPr>
        <w:t>：</w:t>
      </w:r>
      <w:r>
        <w:rPr>
          <w:rFonts w:hAnsi="宋体" w:cs="宋体"/>
          <w:color w:val="auto"/>
          <w:sz w:val="24"/>
          <w:szCs w:val="24"/>
          <w:highlight w:val="none"/>
        </w:rPr>
        <w:t>标准化文件的结构和起草规则》的</w:t>
      </w:r>
      <w:r>
        <w:rPr>
          <w:rFonts w:hint="eastAsia" w:hAnsi="宋体" w:cs="宋体"/>
          <w:color w:val="auto"/>
          <w:sz w:val="24"/>
          <w:szCs w:val="24"/>
          <w:highlight w:val="none"/>
        </w:rPr>
        <w:t>规定</w:t>
      </w:r>
      <w:r>
        <w:rPr>
          <w:rFonts w:hAnsi="宋体" w:cs="宋体"/>
          <w:color w:val="auto"/>
          <w:sz w:val="24"/>
          <w:szCs w:val="24"/>
          <w:highlight w:val="none"/>
        </w:rPr>
        <w:t>起草。</w:t>
      </w:r>
    </w:p>
    <w:p>
      <w:pPr>
        <w:pStyle w:val="59"/>
        <w:keepNext w:val="0"/>
        <w:keepLines w:val="0"/>
        <w:pageBreakBefore w:val="0"/>
        <w:widowControl/>
        <w:tabs>
          <w:tab w:val="center" w:pos="4201"/>
          <w:tab w:val="right" w:leader="dot" w:pos="929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本标准的主要内容:</w:t>
      </w:r>
      <w:r>
        <w:rPr>
          <w:rFonts w:hint="eastAsia" w:ascii="宋体" w:hAnsi="宋体" w:eastAsia="宋体" w:cs="宋体"/>
          <w:color w:val="auto"/>
          <w:sz w:val="24"/>
          <w:szCs w:val="24"/>
          <w:highlight w:val="none"/>
          <w:lang w:eastAsia="zh-CN"/>
        </w:rPr>
        <w:t>电力工业物业管理服</w:t>
      </w:r>
      <w:r>
        <w:rPr>
          <w:rFonts w:hint="eastAsia" w:ascii="宋体" w:hAnsi="宋体" w:eastAsia="宋体" w:cs="宋体"/>
          <w:color w:val="auto"/>
          <w:sz w:val="24"/>
          <w:szCs w:val="24"/>
          <w:highlight w:val="none"/>
          <w:lang w:val="en-US" w:eastAsia="zh-CN"/>
        </w:rPr>
        <w:t>务</w:t>
      </w:r>
      <w:r>
        <w:rPr>
          <w:rFonts w:hint="eastAsia" w:ascii="宋体" w:hAnsi="宋体" w:eastAsia="宋体" w:cs="宋体"/>
          <w:color w:val="auto"/>
          <w:sz w:val="24"/>
          <w:szCs w:val="24"/>
          <w:highlight w:val="none"/>
        </w:rPr>
        <w:t>的术语和定义、</w:t>
      </w:r>
      <w:r>
        <w:rPr>
          <w:rFonts w:hint="eastAsia" w:ascii="宋体" w:hAnsi="宋体" w:eastAsia="宋体" w:cs="宋体"/>
          <w:color w:val="auto"/>
          <w:sz w:val="24"/>
          <w:szCs w:val="24"/>
          <w:highlight w:val="none"/>
          <w:lang w:val="en-US" w:eastAsia="zh-CN"/>
        </w:rPr>
        <w:t>管理服务场所分区分类</w:t>
      </w:r>
      <w:r>
        <w:rPr>
          <w:rFonts w:hint="eastAsia" w:ascii="宋体" w:hAnsi="宋体" w:eastAsia="宋体" w:cs="宋体"/>
          <w:color w:val="auto"/>
          <w:sz w:val="24"/>
          <w:szCs w:val="24"/>
          <w:highlight w:val="none"/>
        </w:rPr>
        <w:t>、</w:t>
      </w:r>
      <w:r>
        <w:rPr>
          <w:rFonts w:hint="default" w:ascii="宋体" w:hAnsi="宋体" w:eastAsia="宋体" w:cs="宋体"/>
          <w:color w:val="auto"/>
          <w:sz w:val="24"/>
          <w:szCs w:val="24"/>
          <w:highlight w:val="none"/>
        </w:rPr>
        <w:t>基本要求</w:t>
      </w:r>
      <w:r>
        <w:rPr>
          <w:rFonts w:hint="eastAsia" w:ascii="宋体" w:hAnsi="宋体" w:eastAsia="宋体" w:cs="宋体"/>
          <w:color w:val="auto"/>
          <w:sz w:val="24"/>
          <w:szCs w:val="24"/>
          <w:highlight w:val="none"/>
          <w:lang w:eastAsia="zh-CN"/>
        </w:rPr>
        <w:t>、电力生产场所作业安全管理要求、承接查验、综合服务、建（构）筑物巡查维护、设施设备运行服务、安全管理、电力防恐与应急、车辆驾驶服务、环境管理、食堂管理、公寓或招待所服务、绿色物业管理</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智慧物业</w:t>
      </w:r>
      <w:r>
        <w:rPr>
          <w:rFonts w:hint="eastAsia" w:ascii="宋体" w:hAnsi="宋体" w:eastAsia="宋体" w:cs="宋体"/>
          <w:color w:val="auto"/>
          <w:sz w:val="24"/>
          <w:szCs w:val="24"/>
          <w:highlight w:val="none"/>
          <w:lang w:val="en-US" w:eastAsia="zh-CN"/>
        </w:rPr>
        <w:t>和评价。</w:t>
      </w:r>
    </w:p>
    <w:p>
      <w:pPr>
        <w:pStyle w:val="61"/>
        <w:keepNext w:val="0"/>
        <w:keepLines w:val="0"/>
        <w:pageBreakBefore w:val="0"/>
        <w:widowControl/>
        <w:kinsoku/>
        <w:wordWrap/>
        <w:overflowPunct/>
        <w:topLinePunct w:val="0"/>
        <w:bidi w:val="0"/>
        <w:adjustRightInd/>
        <w:snapToGrid/>
        <w:spacing w:line="360" w:lineRule="auto"/>
        <w:ind w:firstLine="420"/>
        <w:textAlignment w:val="auto"/>
        <w:rPr>
          <w:rFonts w:hint="eastAsia"/>
          <w:color w:val="auto"/>
          <w:sz w:val="24"/>
          <w:szCs w:val="24"/>
          <w:highlight w:val="none"/>
        </w:rPr>
      </w:pPr>
      <w:r>
        <w:rPr>
          <w:rFonts w:hint="eastAsia"/>
          <w:color w:val="auto"/>
          <w:sz w:val="24"/>
          <w:szCs w:val="24"/>
          <w:highlight w:val="none"/>
        </w:rPr>
        <w:t>本</w:t>
      </w:r>
      <w:r>
        <w:rPr>
          <w:rFonts w:hint="eastAsia"/>
          <w:color w:val="auto"/>
          <w:sz w:val="24"/>
          <w:szCs w:val="24"/>
          <w:highlight w:val="none"/>
          <w:lang w:eastAsia="zh-CN"/>
        </w:rPr>
        <w:t>标准</w:t>
      </w:r>
      <w:r>
        <w:rPr>
          <w:rFonts w:hint="eastAsia"/>
          <w:color w:val="auto"/>
          <w:sz w:val="24"/>
          <w:szCs w:val="24"/>
          <w:highlight w:val="none"/>
        </w:rPr>
        <w:t>由广东省住房和城乡建设厅负责管理，由广东省物业管理行业协会、南网物业管理（广州）有限责任公司负责具体技术内容的解释。执行过程中如有意见或建议，请寄送广东省物业管理行业协会(地址:广州市越秀区德政北路538号达信大厦6楼610-612室，邮编:51</w:t>
      </w:r>
      <w:r>
        <w:rPr>
          <w:rFonts w:hint="eastAsia"/>
          <w:color w:val="auto"/>
          <w:sz w:val="24"/>
          <w:szCs w:val="24"/>
          <w:highlight w:val="none"/>
          <w:lang w:val="en-US" w:eastAsia="zh-CN"/>
        </w:rPr>
        <w:t>0040</w:t>
      </w:r>
      <w:r>
        <w:rPr>
          <w:rFonts w:hint="eastAsia"/>
          <w:color w:val="auto"/>
          <w:sz w:val="24"/>
          <w:szCs w:val="24"/>
          <w:highlight w:val="none"/>
        </w:rPr>
        <w:t>，邮箱:</w:t>
      </w:r>
      <w:r>
        <w:rPr>
          <w:rFonts w:hint="eastAsia"/>
          <w:color w:val="auto"/>
          <w:sz w:val="24"/>
          <w:szCs w:val="24"/>
          <w:highlight w:val="none"/>
          <w:lang w:val="en-US" w:eastAsia="zh-CN"/>
        </w:rPr>
        <w:t>gpmi@163.com</w:t>
      </w:r>
      <w:r>
        <w:rPr>
          <w:rFonts w:hint="eastAsia"/>
          <w:color w:val="auto"/>
          <w:sz w:val="24"/>
          <w:szCs w:val="24"/>
          <w:highlight w:val="none"/>
        </w:rPr>
        <w:t>)。</w:t>
      </w:r>
    </w:p>
    <w:p>
      <w:pPr>
        <w:pStyle w:val="61"/>
        <w:keepNext w:val="0"/>
        <w:keepLines w:val="0"/>
        <w:pageBreakBefore w:val="0"/>
        <w:widowControl/>
        <w:kinsoku/>
        <w:wordWrap/>
        <w:overflowPunct/>
        <w:topLinePunct w:val="0"/>
        <w:bidi w:val="0"/>
        <w:adjustRightInd/>
        <w:snapToGrid/>
        <w:spacing w:line="360" w:lineRule="auto"/>
        <w:ind w:firstLine="420"/>
        <w:textAlignment w:val="auto"/>
        <w:rPr>
          <w:rFonts w:hint="eastAsia"/>
          <w:color w:val="auto"/>
          <w:sz w:val="24"/>
          <w:szCs w:val="24"/>
          <w:highlight w:val="none"/>
        </w:rPr>
      </w:pPr>
      <w:r>
        <w:rPr>
          <w:rFonts w:hint="eastAsia"/>
          <w:color w:val="auto"/>
          <w:sz w:val="24"/>
          <w:szCs w:val="24"/>
          <w:highlight w:val="none"/>
        </w:rPr>
        <w:t>本</w:t>
      </w:r>
      <w:r>
        <w:rPr>
          <w:rFonts w:hint="eastAsia"/>
          <w:color w:val="auto"/>
          <w:sz w:val="24"/>
          <w:szCs w:val="24"/>
          <w:highlight w:val="none"/>
          <w:lang w:eastAsia="zh-CN"/>
        </w:rPr>
        <w:t>标准</w:t>
      </w:r>
      <w:r>
        <w:rPr>
          <w:rFonts w:hint="eastAsia"/>
          <w:color w:val="auto"/>
          <w:sz w:val="24"/>
          <w:szCs w:val="24"/>
          <w:highlight w:val="none"/>
        </w:rPr>
        <w:t>主编单位</w:t>
      </w:r>
      <w:r>
        <w:rPr>
          <w:rFonts w:hint="eastAsia"/>
          <w:color w:val="auto"/>
          <w:sz w:val="24"/>
          <w:szCs w:val="24"/>
          <w:highlight w:val="none"/>
          <w:lang w:eastAsia="zh-CN"/>
        </w:rPr>
        <w:t>：</w:t>
      </w:r>
      <w:r>
        <w:rPr>
          <w:rFonts w:hint="eastAsia"/>
          <w:color w:val="auto"/>
          <w:sz w:val="24"/>
          <w:szCs w:val="24"/>
          <w:highlight w:val="none"/>
        </w:rPr>
        <w:t>广东省物业管理行业协会</w:t>
      </w:r>
    </w:p>
    <w:p>
      <w:pPr>
        <w:pStyle w:val="61"/>
        <w:keepNext w:val="0"/>
        <w:keepLines w:val="0"/>
        <w:pageBreakBefore w:val="0"/>
        <w:widowControl/>
        <w:kinsoku/>
        <w:wordWrap/>
        <w:overflowPunct/>
        <w:topLinePunct w:val="0"/>
        <w:bidi w:val="0"/>
        <w:adjustRightInd/>
        <w:snapToGrid/>
        <w:spacing w:line="360" w:lineRule="auto"/>
        <w:textAlignment w:val="auto"/>
        <w:rPr>
          <w:rFonts w:hint="eastAsia"/>
          <w:color w:val="auto"/>
          <w:sz w:val="24"/>
          <w:szCs w:val="24"/>
          <w:highlight w:val="none"/>
        </w:rPr>
      </w:pPr>
      <w:r>
        <w:rPr>
          <w:rFonts w:hint="eastAsia" w:ascii="宋体" w:hAnsi="宋体" w:cs="宋体"/>
          <w:color w:val="auto"/>
          <w:sz w:val="24"/>
          <w:szCs w:val="24"/>
          <w:highlight w:val="none"/>
          <w:lang w:eastAsia="zh-CN"/>
        </w:rPr>
        <w:t>本标准参编单位：</w:t>
      </w:r>
      <w:r>
        <w:rPr>
          <w:rFonts w:hint="eastAsia"/>
          <w:color w:val="auto"/>
          <w:sz w:val="24"/>
          <w:szCs w:val="24"/>
          <w:highlight w:val="none"/>
        </w:rPr>
        <w:t>南网物业管理（广州）有限责任公司</w:t>
      </w:r>
    </w:p>
    <w:p>
      <w:pPr>
        <w:pStyle w:val="61"/>
        <w:keepNext w:val="0"/>
        <w:keepLines w:val="0"/>
        <w:pageBreakBefore w:val="0"/>
        <w:widowControl/>
        <w:kinsoku/>
        <w:wordWrap/>
        <w:overflowPunct/>
        <w:topLinePunct w:val="0"/>
        <w:bidi w:val="0"/>
        <w:adjustRightInd/>
        <w:snapToGrid/>
        <w:spacing w:line="360" w:lineRule="auto"/>
        <w:ind w:firstLine="2400" w:firstLineChars="1000"/>
        <w:textAlignment w:val="auto"/>
        <w:outlineLvl w:val="0"/>
        <w:rPr>
          <w:rFonts w:hint="eastAsia" w:ascii="宋体" w:hAnsi="宋体" w:cs="宋体"/>
          <w:color w:val="auto"/>
          <w:sz w:val="24"/>
          <w:szCs w:val="24"/>
          <w:highlight w:val="none"/>
          <w:lang w:eastAsia="zh-CN"/>
        </w:rPr>
      </w:pPr>
      <w:bookmarkStart w:id="10" w:name="_Toc13329"/>
      <w:r>
        <w:rPr>
          <w:rFonts w:hint="eastAsia" w:ascii="宋体" w:hAnsi="宋体" w:cs="宋体"/>
          <w:color w:val="auto"/>
          <w:sz w:val="24"/>
          <w:szCs w:val="24"/>
          <w:highlight w:val="none"/>
          <w:lang w:eastAsia="zh-CN"/>
        </w:rPr>
        <w:t>广州馨悦商务服务有限公司</w:t>
      </w:r>
      <w:bookmarkEnd w:id="10"/>
    </w:p>
    <w:p>
      <w:pPr>
        <w:pStyle w:val="61"/>
        <w:keepNext w:val="0"/>
        <w:keepLines w:val="0"/>
        <w:pageBreakBefore w:val="0"/>
        <w:widowControl/>
        <w:kinsoku/>
        <w:wordWrap/>
        <w:overflowPunct/>
        <w:topLinePunct w:val="0"/>
        <w:bidi w:val="0"/>
        <w:adjustRightInd/>
        <w:snapToGrid/>
        <w:spacing w:line="360" w:lineRule="auto"/>
        <w:ind w:firstLine="2400" w:firstLineChars="10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广东天安城市服务有限公司</w:t>
      </w:r>
    </w:p>
    <w:p>
      <w:pPr>
        <w:pStyle w:val="61"/>
        <w:keepNext w:val="0"/>
        <w:keepLines w:val="0"/>
        <w:pageBreakBefore w:val="0"/>
        <w:widowControl/>
        <w:kinsoku/>
        <w:wordWrap/>
        <w:overflowPunct/>
        <w:topLinePunct w:val="0"/>
        <w:bidi w:val="0"/>
        <w:adjustRightInd/>
        <w:snapToGrid/>
        <w:spacing w:line="360" w:lineRule="auto"/>
        <w:ind w:firstLine="2400" w:firstLineChars="1000"/>
        <w:textAlignment w:val="auto"/>
        <w:rPr>
          <w:rFonts w:hint="eastAsia"/>
          <w:color w:val="auto"/>
          <w:sz w:val="24"/>
          <w:szCs w:val="24"/>
          <w:highlight w:val="none"/>
        </w:rPr>
      </w:pPr>
      <w:r>
        <w:rPr>
          <w:rFonts w:hint="eastAsia" w:ascii="宋体" w:hAnsi="宋体" w:cs="宋体"/>
          <w:color w:val="auto"/>
          <w:sz w:val="24"/>
          <w:szCs w:val="24"/>
          <w:highlight w:val="none"/>
          <w:lang w:eastAsia="zh-CN"/>
        </w:rPr>
        <w:t>广东智建工程有限公司</w:t>
      </w:r>
      <w:r>
        <w:rPr>
          <w:rFonts w:hint="eastAsia"/>
          <w:color w:val="auto"/>
          <w:sz w:val="24"/>
          <w:szCs w:val="24"/>
          <w:highlight w:val="none"/>
        </w:rPr>
        <w:t>。</w:t>
      </w:r>
    </w:p>
    <w:p>
      <w:pPr>
        <w:pStyle w:val="61"/>
        <w:keepNext w:val="0"/>
        <w:keepLines w:val="0"/>
        <w:pageBreakBefore w:val="0"/>
        <w:widowControl/>
        <w:kinsoku/>
        <w:wordWrap/>
        <w:overflowPunct/>
        <w:topLinePunct w:val="0"/>
        <w:bidi w:val="0"/>
        <w:adjustRightInd/>
        <w:snapToGrid/>
        <w:spacing w:line="360" w:lineRule="auto"/>
        <w:ind w:left="2738" w:leftChars="200" w:hanging="2318" w:hangingChars="966"/>
        <w:textAlignment w:val="auto"/>
        <w:rPr>
          <w:color w:val="auto"/>
          <w:sz w:val="24"/>
          <w:szCs w:val="24"/>
          <w:highlight w:val="none"/>
        </w:rPr>
      </w:pPr>
      <w:r>
        <w:rPr>
          <w:rFonts w:hint="eastAsia"/>
          <w:color w:val="auto"/>
          <w:sz w:val="24"/>
          <w:szCs w:val="24"/>
          <w:highlight w:val="none"/>
        </w:rPr>
        <w:t>本</w:t>
      </w:r>
      <w:r>
        <w:rPr>
          <w:rFonts w:hint="eastAsia"/>
          <w:color w:val="auto"/>
          <w:sz w:val="24"/>
          <w:szCs w:val="24"/>
          <w:highlight w:val="none"/>
          <w:lang w:eastAsia="zh-CN"/>
        </w:rPr>
        <w:t>标准</w:t>
      </w:r>
      <w:r>
        <w:rPr>
          <w:rFonts w:hint="eastAsia"/>
          <w:color w:val="auto"/>
          <w:sz w:val="24"/>
          <w:szCs w:val="24"/>
          <w:highlight w:val="none"/>
        </w:rPr>
        <w:t>主要起草人员</w:t>
      </w:r>
      <w:r>
        <w:rPr>
          <w:rFonts w:hint="eastAsia"/>
          <w:color w:val="auto"/>
          <w:sz w:val="24"/>
          <w:szCs w:val="24"/>
          <w:highlight w:val="none"/>
          <w:lang w:eastAsia="zh-CN"/>
        </w:rPr>
        <w:t>：</w:t>
      </w:r>
      <w:r>
        <w:rPr>
          <w:rFonts w:hint="eastAsia"/>
          <w:color w:val="auto"/>
          <w:sz w:val="24"/>
          <w:szCs w:val="24"/>
          <w:highlight w:val="none"/>
          <w:lang w:val="en-US" w:eastAsia="zh-CN"/>
        </w:rPr>
        <w:t>杨国贤  谭诗念  徐  斐  梁  兵  赵广峰  王  振  但志勇  刘湘健  韦春霞  赵雪军  陈英杰  余兴洪。</w:t>
      </w:r>
    </w:p>
    <w:p>
      <w:pPr>
        <w:pStyle w:val="61"/>
        <w:keepNext w:val="0"/>
        <w:keepLines w:val="0"/>
        <w:pageBreakBefore w:val="0"/>
        <w:widowControl/>
        <w:kinsoku/>
        <w:wordWrap/>
        <w:overflowPunct/>
        <w:topLinePunct w:val="0"/>
        <w:bidi w:val="0"/>
        <w:adjustRightInd/>
        <w:snapToGrid/>
        <w:spacing w:line="360" w:lineRule="auto"/>
        <w:ind w:firstLine="420"/>
        <w:textAlignment w:val="auto"/>
        <w:rPr>
          <w:color w:val="auto"/>
          <w:highlight w:val="none"/>
        </w:rPr>
      </w:pPr>
    </w:p>
    <w:p>
      <w:pPr>
        <w:ind w:firstLine="420" w:firstLineChars="200"/>
        <w:rPr>
          <w:rFonts w:hint="eastAsia"/>
          <w:color w:val="auto"/>
          <w:highlight w:val="none"/>
        </w:rPr>
      </w:pPr>
    </w:p>
    <w:p>
      <w:pPr>
        <w:ind w:firstLine="420" w:firstLineChars="200"/>
        <w:rPr>
          <w:rFonts w:hint="eastAsia"/>
          <w:color w:val="auto"/>
          <w:highlight w:val="none"/>
        </w:rPr>
      </w:pPr>
    </w:p>
    <w:p>
      <w:pPr>
        <w:ind w:firstLine="420" w:firstLineChars="200"/>
        <w:rPr>
          <w:rFonts w:hint="eastAsia"/>
          <w:color w:val="auto"/>
          <w:highlight w:val="none"/>
        </w:rPr>
      </w:pPr>
    </w:p>
    <w:p>
      <w:pPr>
        <w:ind w:firstLine="420" w:firstLineChars="200"/>
        <w:rPr>
          <w:rFonts w:hint="eastAsia" w:ascii="宋体" w:hAnsi="宋体"/>
          <w:color w:val="auto"/>
          <w:highlight w:val="none"/>
        </w:rPr>
      </w:pPr>
    </w:p>
    <w:p>
      <w:pPr>
        <w:pStyle w:val="60"/>
        <w:spacing w:before="850" w:after="680" w:line="240" w:lineRule="auto"/>
        <w:rPr>
          <w:rFonts w:hint="eastAsia" w:ascii="仿宋" w:hAnsi="仿宋" w:eastAsia="仿宋" w:cs="仿宋"/>
          <w:b w:val="0"/>
          <w:bCs w:val="0"/>
          <w:color w:val="auto"/>
          <w:sz w:val="36"/>
          <w:szCs w:val="36"/>
          <w:highlight w:val="none"/>
          <w:lang w:val="en-US" w:eastAsia="zh-CN"/>
        </w:rPr>
      </w:pPr>
      <w:bookmarkStart w:id="11" w:name="_Toc6759"/>
      <w:r>
        <w:rPr>
          <w:rFonts w:hint="eastAsia" w:ascii="仿宋" w:hAnsi="仿宋" w:eastAsia="仿宋" w:cs="仿宋"/>
          <w:b w:val="0"/>
          <w:bCs w:val="0"/>
          <w:color w:val="auto"/>
          <w:sz w:val="36"/>
          <w:szCs w:val="36"/>
          <w:highlight w:val="none"/>
          <w:lang w:val="en-US" w:eastAsia="zh-CN"/>
        </w:rPr>
        <w:t>目  次</w:t>
      </w:r>
      <w:bookmarkEnd w:id="11"/>
    </w:p>
    <w:sdt>
      <w:sdtPr>
        <w:rPr>
          <w:rFonts w:ascii="宋体" w:hAnsi="宋体" w:eastAsia="宋体" w:cs="Times New Roman"/>
          <w:kern w:val="2"/>
          <w:sz w:val="21"/>
          <w:szCs w:val="21"/>
          <w:highlight w:val="none"/>
          <w:lang w:val="en-US" w:eastAsia="zh-CN" w:bidi="ar-SA"/>
        </w:rPr>
        <w:id w:val="147483386"/>
        <w15:color w:val="DBDBDB"/>
        <w:docPartObj>
          <w:docPartGallery w:val="Table of Contents"/>
          <w:docPartUnique/>
        </w:docPartObj>
      </w:sdtPr>
      <w:sdtEndPr>
        <w:rPr>
          <w:rFonts w:hint="eastAsia" w:ascii="宋体" w:hAnsi="宋体" w:eastAsia="宋体" w:cs="宋体"/>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TOC \o "1-3" \h \u </w:instrText>
          </w:r>
          <w:r>
            <w:rPr>
              <w:rFonts w:hint="eastAsia" w:ascii="宋体" w:hAnsi="宋体" w:eastAsia="宋体" w:cs="宋体"/>
              <w:color w:val="auto"/>
              <w:sz w:val="24"/>
              <w:szCs w:val="24"/>
              <w:highlight w:val="none"/>
              <w:lang w:val="en-US" w:eastAsia="zh-CN"/>
            </w:rPr>
            <w:fldChar w:fldCharType="separate"/>
          </w:r>
        </w:p>
        <w:p>
          <w:pPr>
            <w:pStyle w:val="29"/>
            <w:tabs>
              <w:tab w:val="right" w:leader="dot" w:pos="9354"/>
            </w:tabs>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_Toc15608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1</w:t>
          </w:r>
          <w:r>
            <w:rPr>
              <w:rFonts w:hint="eastAsia" w:hAnsi="宋体" w:cs="宋体"/>
              <w:bCs/>
              <w:sz w:val="24"/>
              <w:szCs w:val="24"/>
              <w:highlight w:val="none"/>
              <w:lang w:val="en-US" w:eastAsia="zh-CN"/>
            </w:rPr>
            <w:t xml:space="preserve">  </w:t>
          </w:r>
          <w:r>
            <w:rPr>
              <w:rFonts w:hint="eastAsia" w:ascii="宋体" w:hAnsi="宋体" w:eastAsia="宋体" w:cs="宋体"/>
              <w:bCs w:val="0"/>
              <w:sz w:val="24"/>
              <w:szCs w:val="24"/>
              <w:highlight w:val="none"/>
              <w:lang w:val="en-US" w:eastAsia="zh-CN"/>
            </w:rPr>
            <w:t>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_Toc15608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32"/>
            <w:tabs>
              <w:tab w:val="right" w:leader="dot" w:pos="9354"/>
            </w:tabs>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_Toc17928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 xml:space="preserve">2 </w:t>
          </w:r>
          <w:r>
            <w:rPr>
              <w:rFonts w:hint="eastAsia" w:ascii="宋体" w:hAnsi="宋体" w:cs="宋体"/>
              <w:bCs/>
              <w:sz w:val="24"/>
              <w:szCs w:val="24"/>
              <w:highlight w:val="none"/>
              <w:lang w:val="en-US" w:eastAsia="zh-CN"/>
            </w:rPr>
            <w:t xml:space="preserve"> </w:t>
          </w:r>
          <w:r>
            <w:rPr>
              <w:rFonts w:hint="eastAsia" w:ascii="宋体" w:hAnsi="宋体" w:eastAsia="宋体" w:cs="宋体"/>
              <w:bCs w:val="0"/>
              <w:sz w:val="24"/>
              <w:szCs w:val="24"/>
              <w:highlight w:val="none"/>
            </w:rPr>
            <w:t>术语</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_Toc17928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29"/>
            <w:tabs>
              <w:tab w:val="right" w:leader="dot" w:pos="9354"/>
            </w:tabs>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_Toc22816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 </w:t>
          </w:r>
          <w:r>
            <w:rPr>
              <w:rFonts w:hint="eastAsia" w:hAnsi="宋体" w:cs="宋体"/>
              <w:sz w:val="24"/>
              <w:szCs w:val="24"/>
              <w:highlight w:val="none"/>
              <w:lang w:val="en-US" w:eastAsia="zh-CN"/>
            </w:rPr>
            <w:t xml:space="preserve"> </w:t>
          </w:r>
          <w:r>
            <w:rPr>
              <w:rFonts w:hint="eastAsia" w:ascii="宋体" w:hAnsi="宋体" w:eastAsia="宋体" w:cs="宋体"/>
              <w:bCs w:val="0"/>
              <w:sz w:val="24"/>
              <w:szCs w:val="24"/>
              <w:highlight w:val="none"/>
              <w:lang w:val="en-US" w:eastAsia="zh-CN"/>
            </w:rPr>
            <w:t>管理及服务场所分区分类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_Toc22816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32"/>
            <w:tabs>
              <w:tab w:val="right" w:leader="dot" w:pos="9354"/>
            </w:tabs>
            <w:ind w:firstLine="240" w:firstLineChars="100"/>
            <w:outlineLvl w:val="1"/>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_Toc1308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kern w:val="0"/>
              <w:sz w:val="24"/>
              <w:szCs w:val="24"/>
              <w:highlight w:val="none"/>
              <w:lang w:val="en-US" w:eastAsia="zh-CN"/>
            </w:rPr>
            <w:t>3</w:t>
          </w:r>
          <w:r>
            <w:rPr>
              <w:rFonts w:hint="eastAsia" w:ascii="宋体" w:hAnsi="宋体" w:eastAsia="宋体" w:cs="宋体"/>
              <w:bCs/>
              <w:kern w:val="0"/>
              <w:sz w:val="24"/>
              <w:szCs w:val="24"/>
              <w:highlight w:val="none"/>
              <w:lang w:val="en-US"/>
            </w:rPr>
            <w:t>.1</w:t>
          </w:r>
          <w:r>
            <w:rPr>
              <w:rFonts w:hint="eastAsia" w:ascii="宋体" w:hAnsi="宋体" w:eastAsia="宋体" w:cs="宋体"/>
              <w:bCs/>
              <w:sz w:val="24"/>
              <w:szCs w:val="24"/>
              <w:highlight w:val="none"/>
            </w:rPr>
            <w:t xml:space="preserve">  管理场所分类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_Toc1308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32"/>
            <w:tabs>
              <w:tab w:val="right" w:leader="dot" w:pos="9354"/>
            </w:tabs>
            <w:ind w:firstLine="240" w:firstLineChars="100"/>
            <w:outlineLvl w:val="1"/>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_Toc32625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3.2  物业服务人员现场服务区域分类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_Toc32625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29"/>
            <w:tabs>
              <w:tab w:val="right" w:leader="dot" w:pos="9354"/>
            </w:tabs>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_Toc15106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 xml:space="preserve">4 </w:t>
          </w:r>
          <w:r>
            <w:rPr>
              <w:rFonts w:hint="eastAsia" w:hAnsi="宋体" w:cs="宋体"/>
              <w:sz w:val="24"/>
              <w:szCs w:val="24"/>
              <w:highlight w:val="none"/>
              <w:lang w:val="en-US" w:eastAsia="zh-CN"/>
            </w:rPr>
            <w:t xml:space="preserve"> </w:t>
          </w:r>
          <w:r>
            <w:rPr>
              <w:rFonts w:hint="eastAsia" w:ascii="宋体" w:hAnsi="宋体" w:eastAsia="宋体" w:cs="宋体"/>
              <w:bCs w:val="0"/>
              <w:sz w:val="24"/>
              <w:szCs w:val="24"/>
              <w:highlight w:val="none"/>
              <w:lang w:val="en-US" w:eastAsia="zh-CN"/>
            </w:rPr>
            <w:t>基本要求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_Toc15106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_Toc22608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4.1  人员要求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_Toc22608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_Toc7220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4.2  财务管理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_Toc7220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_Toc26838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4.3  档案管理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_Toc26838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_Toc19239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4.4  保密管理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_Toc19239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_Toc2073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4.5  标识管理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_Toc2073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29"/>
            <w:tabs>
              <w:tab w:val="right" w:leader="dot" w:pos="9354"/>
            </w:tabs>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_Toc18408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 xml:space="preserve">5 </w:t>
          </w:r>
          <w:r>
            <w:rPr>
              <w:rFonts w:hint="eastAsia" w:hAnsi="宋体" w:cs="宋体"/>
              <w:sz w:val="24"/>
              <w:szCs w:val="24"/>
              <w:highlight w:val="none"/>
              <w:lang w:val="en-US" w:eastAsia="zh-CN"/>
            </w:rPr>
            <w:t xml:space="preserve"> </w:t>
          </w:r>
          <w:r>
            <w:rPr>
              <w:rFonts w:hint="eastAsia" w:ascii="宋体" w:hAnsi="宋体" w:eastAsia="宋体" w:cs="宋体"/>
              <w:bCs w:val="0"/>
              <w:sz w:val="24"/>
              <w:szCs w:val="24"/>
              <w:highlight w:val="none"/>
              <w:lang w:val="en-US" w:eastAsia="zh-CN"/>
            </w:rPr>
            <w:t>电力生产场所作业安全管理要求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_Toc18408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29"/>
            <w:tabs>
              <w:tab w:val="right" w:leader="dot" w:pos="9354"/>
            </w:tabs>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_Toc21993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 xml:space="preserve">6 </w:t>
          </w:r>
          <w:r>
            <w:rPr>
              <w:rFonts w:hint="eastAsia" w:hAnsi="宋体" w:cs="宋体"/>
              <w:sz w:val="24"/>
              <w:szCs w:val="24"/>
              <w:highlight w:val="none"/>
              <w:lang w:val="en-US" w:eastAsia="zh-CN"/>
            </w:rPr>
            <w:t xml:space="preserve"> </w:t>
          </w:r>
          <w:r>
            <w:rPr>
              <w:rFonts w:hint="eastAsia" w:ascii="宋体" w:hAnsi="宋体" w:eastAsia="宋体" w:cs="宋体"/>
              <w:bCs w:val="0"/>
              <w:sz w:val="24"/>
              <w:szCs w:val="24"/>
              <w:highlight w:val="none"/>
              <w:lang w:val="en-US" w:eastAsia="zh-CN"/>
            </w:rPr>
            <w:t>承接查验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_Toc21993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29"/>
            <w:tabs>
              <w:tab w:val="right" w:leader="dot" w:pos="9354"/>
            </w:tabs>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_Toc29597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 xml:space="preserve">7  </w:t>
          </w:r>
          <w:r>
            <w:rPr>
              <w:rFonts w:hint="eastAsia" w:ascii="宋体" w:hAnsi="宋体" w:eastAsia="宋体" w:cs="宋体"/>
              <w:bCs w:val="0"/>
              <w:sz w:val="24"/>
              <w:szCs w:val="24"/>
              <w:highlight w:val="none"/>
              <w:lang w:val="en-US" w:eastAsia="zh-CN"/>
            </w:rPr>
            <w:t>综合服务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_Toc29597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_Toc3137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7.1  客户服务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_Toc3137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_Toc28823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7.2  报事报修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_Toc28823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_Toc4950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7.3  装修/施工监管服务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_Toc4950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_Toc11304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7.4　便民服务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_Toc11304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_Toc19524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7.5　其它服务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_Toc19524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29"/>
            <w:tabs>
              <w:tab w:val="right" w:leader="dot" w:pos="9354"/>
            </w:tabs>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_Toc31937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 xml:space="preserve">8 </w:t>
          </w:r>
          <w:r>
            <w:rPr>
              <w:rFonts w:hint="eastAsia" w:hAnsi="宋体" w:cs="宋体"/>
              <w:sz w:val="24"/>
              <w:szCs w:val="24"/>
              <w:highlight w:val="none"/>
              <w:lang w:val="en-US" w:eastAsia="zh-CN"/>
            </w:rPr>
            <w:t xml:space="preserve"> </w:t>
          </w:r>
          <w:r>
            <w:rPr>
              <w:rFonts w:hint="eastAsia" w:ascii="宋体" w:hAnsi="宋体" w:eastAsia="宋体" w:cs="宋体"/>
              <w:bCs w:val="0"/>
              <w:sz w:val="24"/>
              <w:szCs w:val="24"/>
              <w:highlight w:val="none"/>
              <w:lang w:val="en-US" w:eastAsia="zh-CN"/>
            </w:rPr>
            <w:t>建（构）筑物巡查维护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_Toc31937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_Toc27968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8.1  房屋及建（构）筑物本体</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_Toc27968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_Toc30488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8.2  水工建筑物日常维护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_Toc30488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29"/>
            <w:tabs>
              <w:tab w:val="right" w:leader="dot" w:pos="9354"/>
            </w:tabs>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_Toc17019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 xml:space="preserve">9 </w:t>
          </w:r>
          <w:r>
            <w:rPr>
              <w:rFonts w:hint="eastAsia" w:hAnsi="宋体" w:cs="宋体"/>
              <w:sz w:val="24"/>
              <w:szCs w:val="24"/>
              <w:highlight w:val="none"/>
              <w:lang w:val="en-US" w:eastAsia="zh-CN"/>
            </w:rPr>
            <w:t xml:space="preserve"> </w:t>
          </w:r>
          <w:r>
            <w:rPr>
              <w:rFonts w:hint="eastAsia" w:ascii="宋体" w:hAnsi="宋体" w:eastAsia="宋体" w:cs="宋体"/>
              <w:bCs w:val="0"/>
              <w:sz w:val="24"/>
              <w:szCs w:val="24"/>
              <w:highlight w:val="none"/>
              <w:lang w:val="en-US" w:eastAsia="zh-CN"/>
            </w:rPr>
            <w:t>设施设备运行服务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_Toc17019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_Toc27826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9.1  供配电系统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_Toc27826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_Toc7666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9.2  空调系统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_Toc7666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15"/>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_Toc4034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9.3  给排水系统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_Toc4034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15"/>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_Toc29607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9.4  电梯系统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_Toc29607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15"/>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_Toc28280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9.5  消防设施设备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_Toc28280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_Toc24417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9.6  建筑物防雷系统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_Toc24417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_Toc26992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9.7  安全技术防范与多媒体系统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_Toc26992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_Toc26968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9.8  公共及生产区照明系统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_Toc26968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_Toc1996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9.9  生产区设备清洁保养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_Toc1996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29"/>
            <w:tabs>
              <w:tab w:val="right" w:leader="dot" w:pos="9354"/>
            </w:tabs>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_Toc17579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 xml:space="preserve">10  </w:t>
          </w:r>
          <w:r>
            <w:rPr>
              <w:rFonts w:hint="eastAsia" w:ascii="宋体" w:hAnsi="宋体" w:eastAsia="宋体" w:cs="宋体"/>
              <w:bCs w:val="0"/>
              <w:sz w:val="24"/>
              <w:szCs w:val="24"/>
              <w:highlight w:val="none"/>
              <w:lang w:val="en-US" w:eastAsia="zh-CN"/>
            </w:rPr>
            <w:t>秩序消防服务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_Toc17579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_Toc12381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10.1  出入管理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_Toc12381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_Toc19412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10.2  交通停车秩序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_Toc19412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_Toc25596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10.3  装卸管理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_Toc25596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_Toc1966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10.4  治安秩序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_Toc1966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_Toc29648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10.5  消防/监控管理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_Toc29648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_Toc17052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10.6  充电桩巡查管理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_Toc17052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32"/>
            <w:tabs>
              <w:tab w:val="right" w:leader="dot" w:pos="9354"/>
            </w:tabs>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_Toc4752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kern w:val="44"/>
              <w:sz w:val="24"/>
              <w:szCs w:val="24"/>
              <w:highlight w:val="none"/>
              <w:lang w:val="en-US" w:eastAsia="zh-CN" w:bidi="ar-SA"/>
            </w:rPr>
            <w:t xml:space="preserve">11  </w:t>
          </w:r>
          <w:r>
            <w:rPr>
              <w:rFonts w:hint="eastAsia" w:ascii="宋体" w:hAnsi="宋体" w:eastAsia="宋体" w:cs="宋体"/>
              <w:bCs w:val="0"/>
              <w:kern w:val="44"/>
              <w:sz w:val="24"/>
              <w:szCs w:val="24"/>
              <w:highlight w:val="none"/>
              <w:lang w:val="en-US" w:eastAsia="zh-CN" w:bidi="ar-SA"/>
            </w:rPr>
            <w:t>电力防恐与应急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_Toc4752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_Toc478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11.1  常态防恐要求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_Toc478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_Toc14490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11.2  反恐怖防范应急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_Toc14490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_Toc19656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11.3  日常服务应急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_Toc19656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29"/>
            <w:tabs>
              <w:tab w:val="right" w:leader="dot" w:pos="9354"/>
            </w:tabs>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_Toc31185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 xml:space="preserve">12  </w:t>
          </w:r>
          <w:r>
            <w:rPr>
              <w:rFonts w:hint="eastAsia" w:ascii="宋体" w:hAnsi="宋体" w:eastAsia="宋体" w:cs="宋体"/>
              <w:bCs w:val="0"/>
              <w:sz w:val="24"/>
              <w:szCs w:val="24"/>
              <w:highlight w:val="none"/>
              <w:lang w:val="en-US" w:eastAsia="zh-CN"/>
            </w:rPr>
            <w:t>车辆驾驶与管理服务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_Toc31185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29"/>
            <w:tabs>
              <w:tab w:val="right" w:leader="dot" w:pos="9354"/>
            </w:tabs>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_Toc16188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 xml:space="preserve">13  </w:t>
          </w:r>
          <w:r>
            <w:rPr>
              <w:rFonts w:hint="eastAsia" w:ascii="宋体" w:hAnsi="宋体" w:eastAsia="宋体" w:cs="宋体"/>
              <w:bCs w:val="0"/>
              <w:sz w:val="24"/>
              <w:szCs w:val="24"/>
              <w:highlight w:val="none"/>
              <w:lang w:val="en-US" w:eastAsia="zh-CN"/>
            </w:rPr>
            <w:t>环境管理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_Toc16188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_Toc16687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13.1  带电设备附近工作要求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_Toc16687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_Toc7508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13.2  保洁服务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_Toc7508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_Toc29885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13.3  绿化养护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_Toc29885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29"/>
            <w:tabs>
              <w:tab w:val="right" w:leader="dot" w:pos="9354"/>
            </w:tabs>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_Toc27890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 xml:space="preserve">14  </w:t>
          </w:r>
          <w:r>
            <w:rPr>
              <w:rFonts w:hint="eastAsia" w:ascii="宋体" w:hAnsi="宋体" w:eastAsia="宋体" w:cs="宋体"/>
              <w:bCs w:val="0"/>
              <w:sz w:val="24"/>
              <w:szCs w:val="24"/>
              <w:highlight w:val="none"/>
              <w:lang w:val="en-US" w:eastAsia="zh-CN"/>
            </w:rPr>
            <w:t>食堂管理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_Toc27890 \h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29"/>
            <w:tabs>
              <w:tab w:val="right" w:leader="dot" w:pos="9354"/>
            </w:tabs>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_Toc3248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 xml:space="preserve">15  </w:t>
          </w:r>
          <w:r>
            <w:rPr>
              <w:rFonts w:hint="eastAsia" w:ascii="宋体" w:hAnsi="宋体" w:eastAsia="宋体" w:cs="宋体"/>
              <w:bCs w:val="0"/>
              <w:sz w:val="24"/>
              <w:szCs w:val="24"/>
              <w:highlight w:val="none"/>
              <w:lang w:val="en-US" w:eastAsia="zh-CN"/>
            </w:rPr>
            <w:t>公寓或招待所服务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_Toc3248 \h </w:instrText>
          </w:r>
          <w:r>
            <w:rPr>
              <w:rFonts w:hint="eastAsia" w:ascii="宋体" w:hAnsi="宋体" w:eastAsia="宋体" w:cs="宋体"/>
              <w:sz w:val="24"/>
              <w:szCs w:val="24"/>
            </w:rPr>
            <w:fldChar w:fldCharType="separate"/>
          </w:r>
          <w:r>
            <w:rPr>
              <w:rFonts w:hint="eastAsia" w:ascii="宋体" w:hAnsi="宋体" w:eastAsia="宋体" w:cs="宋体"/>
              <w:sz w:val="24"/>
              <w:szCs w:val="24"/>
            </w:rPr>
            <w:t>40</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29"/>
            <w:tabs>
              <w:tab w:val="right" w:leader="dot" w:pos="9354"/>
            </w:tabs>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_Toc19711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 xml:space="preserve">16  </w:t>
          </w:r>
          <w:r>
            <w:rPr>
              <w:rFonts w:hint="eastAsia" w:ascii="宋体" w:hAnsi="宋体" w:eastAsia="宋体" w:cs="宋体"/>
              <w:bCs w:val="0"/>
              <w:sz w:val="24"/>
              <w:szCs w:val="24"/>
              <w:highlight w:val="none"/>
              <w:lang w:val="en-US" w:eastAsia="zh-CN"/>
            </w:rPr>
            <w:t>绿色物业管理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_Toc19711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29"/>
            <w:tabs>
              <w:tab w:val="right" w:leader="dot" w:pos="9354"/>
            </w:tabs>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_Toc23852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 xml:space="preserve">17  </w:t>
          </w:r>
          <w:r>
            <w:rPr>
              <w:rFonts w:hint="eastAsia" w:ascii="宋体" w:hAnsi="宋体" w:eastAsia="宋体" w:cs="宋体"/>
              <w:bCs w:val="0"/>
              <w:sz w:val="24"/>
              <w:szCs w:val="24"/>
              <w:highlight w:val="none"/>
              <w:lang w:val="en-US" w:eastAsia="zh-CN"/>
            </w:rPr>
            <w:t>智慧物业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_Toc23852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29"/>
            <w:tabs>
              <w:tab w:val="right" w:leader="dot" w:pos="9354"/>
            </w:tabs>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_Toc14109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 xml:space="preserve">18  </w:t>
          </w:r>
          <w:r>
            <w:rPr>
              <w:rFonts w:hint="eastAsia" w:ascii="宋体" w:hAnsi="宋体" w:eastAsia="宋体" w:cs="宋体"/>
              <w:bCs w:val="0"/>
              <w:sz w:val="24"/>
              <w:szCs w:val="24"/>
              <w:highlight w:val="none"/>
              <w:lang w:val="en-US" w:eastAsia="zh-CN"/>
            </w:rPr>
            <w:t>评价要求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_Toc14109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_Toc11397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18.1　评价原则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_Toc11397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_Toc20347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18.2　评价主体及对象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_Toc20347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_Toc22782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18.3　评价方式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_Toc22782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32"/>
            <w:tabs>
              <w:tab w:val="right" w:leader="dot" w:pos="9354"/>
            </w:tabs>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_Toc12659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bCs/>
              <w:sz w:val="24"/>
              <w:szCs w:val="24"/>
              <w:highlight w:val="none"/>
              <w:lang w:val="en-US" w:eastAsia="zh-CN"/>
            </w:rPr>
            <w:t>18.4　评价结果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_Toc12659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29"/>
            <w:tabs>
              <w:tab w:val="right" w:leader="dot" w:pos="9354"/>
            </w:tabs>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_Toc9348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rPr>
            <w:t>本</w:t>
          </w:r>
          <w:r>
            <w:rPr>
              <w:rFonts w:hint="eastAsia" w:ascii="宋体" w:hAnsi="宋体" w:eastAsia="宋体" w:cs="宋体"/>
              <w:sz w:val="24"/>
              <w:szCs w:val="24"/>
              <w:highlight w:val="none"/>
              <w:lang w:val="en-US" w:eastAsia="zh-CN"/>
            </w:rPr>
            <w:t>标准</w:t>
          </w:r>
          <w:r>
            <w:rPr>
              <w:rFonts w:hint="eastAsia" w:ascii="宋体" w:hAnsi="宋体" w:eastAsia="宋体" w:cs="宋体"/>
              <w:sz w:val="24"/>
              <w:szCs w:val="24"/>
              <w:highlight w:val="none"/>
            </w:rPr>
            <w:t>用词说明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_Toc9348 \h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29"/>
            <w:tabs>
              <w:tab w:val="right" w:leader="dot" w:pos="9354"/>
            </w:tabs>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_Toc948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rPr>
            <w:t>引用标准名录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_Toc948 \h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32"/>
            <w:tabs>
              <w:tab w:val="right" w:leader="dot" w:pos="9354"/>
            </w:tabs>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_Toc5379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rPr>
            <w:t>附录</w:t>
          </w:r>
          <w:r>
            <w:rPr>
              <w:rFonts w:hint="eastAsia" w:ascii="宋体" w:hAnsi="宋体" w:eastAsia="宋体" w:cs="宋体"/>
              <w:sz w:val="24"/>
              <w:szCs w:val="24"/>
              <w:highlight w:val="none"/>
              <w:lang w:val="en-US" w:eastAsia="zh-CN"/>
            </w:rPr>
            <w:t xml:space="preserve">A  </w:t>
          </w:r>
          <w:r>
            <w:rPr>
              <w:rFonts w:hint="eastAsia" w:ascii="宋体" w:hAnsi="宋体" w:eastAsia="宋体" w:cs="宋体"/>
              <w:sz w:val="24"/>
              <w:szCs w:val="24"/>
              <w:highlight w:val="none"/>
              <w:lang w:eastAsia="zh-CN"/>
            </w:rPr>
            <w:t>中央空调系统维护保养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_Toc5379 \h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29"/>
            <w:tabs>
              <w:tab w:val="right" w:leader="dot" w:pos="9354"/>
            </w:tabs>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_Toc19169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rPr>
            <w:t>附录</w:t>
          </w:r>
          <w:r>
            <w:rPr>
              <w:rFonts w:hint="eastAsia" w:ascii="宋体" w:hAnsi="宋体" w:eastAsia="宋体" w:cs="宋体"/>
              <w:sz w:val="24"/>
              <w:szCs w:val="24"/>
              <w:highlight w:val="none"/>
              <w:lang w:val="en-US" w:eastAsia="zh-CN"/>
            </w:rPr>
            <w:t xml:space="preserve">B  </w:t>
          </w:r>
          <w:r>
            <w:rPr>
              <w:rFonts w:hint="eastAsia" w:ascii="宋体" w:hAnsi="宋体" w:eastAsia="宋体" w:cs="宋体"/>
              <w:sz w:val="24"/>
              <w:szCs w:val="24"/>
              <w:highlight w:val="none"/>
              <w:lang w:eastAsia="zh-CN"/>
            </w:rPr>
            <w:t>给排水系统维护保养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_Toc19169 \h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29"/>
            <w:tabs>
              <w:tab w:val="right" w:leader="dot" w:pos="9354"/>
            </w:tabs>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_Toc21175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rPr>
            <w:t>附录</w:t>
          </w:r>
          <w:r>
            <w:rPr>
              <w:rFonts w:hint="eastAsia" w:ascii="宋体" w:hAnsi="宋体" w:eastAsia="宋体" w:cs="宋体"/>
              <w:sz w:val="24"/>
              <w:szCs w:val="24"/>
              <w:highlight w:val="none"/>
              <w:lang w:val="en-US" w:eastAsia="zh-CN"/>
            </w:rPr>
            <w:t xml:space="preserve">C  </w:t>
          </w:r>
          <w:r>
            <w:rPr>
              <w:rFonts w:hint="eastAsia" w:ascii="宋体" w:hAnsi="宋体" w:eastAsia="宋体" w:cs="宋体"/>
              <w:sz w:val="24"/>
              <w:szCs w:val="24"/>
              <w:highlight w:val="none"/>
              <w:lang w:eastAsia="zh-CN"/>
            </w:rPr>
            <w:t>安全技术防范与多媒体系统巡查维护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_Toc21175 \h </w:instrText>
          </w:r>
          <w:r>
            <w:rPr>
              <w:rFonts w:hint="eastAsia" w:ascii="宋体" w:hAnsi="宋体" w:eastAsia="宋体" w:cs="宋体"/>
              <w:sz w:val="24"/>
              <w:szCs w:val="24"/>
            </w:rPr>
            <w:fldChar w:fldCharType="separate"/>
          </w:r>
          <w:r>
            <w:rPr>
              <w:rFonts w:hint="eastAsia" w:ascii="宋体" w:hAnsi="宋体" w:eastAsia="宋体" w:cs="宋体"/>
              <w:sz w:val="24"/>
              <w:szCs w:val="24"/>
            </w:rPr>
            <w:t>49</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29"/>
            <w:tabs>
              <w:tab w:val="right" w:leader="dot" w:pos="9354"/>
            </w:tabs>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_Toc8405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rPr>
            <w:t>附录</w:t>
          </w:r>
          <w:r>
            <w:rPr>
              <w:rFonts w:hint="eastAsia" w:ascii="宋体" w:hAnsi="宋体" w:eastAsia="宋体" w:cs="宋体"/>
              <w:sz w:val="24"/>
              <w:szCs w:val="24"/>
              <w:highlight w:val="none"/>
              <w:lang w:val="en-US" w:eastAsia="zh-CN"/>
            </w:rPr>
            <w:t xml:space="preserve">D  </w:t>
          </w:r>
          <w:r>
            <w:rPr>
              <w:rFonts w:hint="eastAsia" w:ascii="宋体" w:hAnsi="宋体" w:eastAsia="宋体" w:cs="宋体"/>
              <w:sz w:val="24"/>
              <w:szCs w:val="24"/>
              <w:highlight w:val="none"/>
              <w:lang w:val="zh-CN" w:eastAsia="zh-CN"/>
            </w:rPr>
            <w:t>重要部位（区域）</w:t>
          </w:r>
          <w:r>
            <w:rPr>
              <w:rFonts w:hint="eastAsia" w:ascii="宋体" w:hAnsi="宋体" w:eastAsia="宋体" w:cs="宋体"/>
              <w:sz w:val="24"/>
              <w:szCs w:val="24"/>
              <w:highlight w:val="none"/>
              <w:lang w:val="en-US" w:eastAsia="zh-CN"/>
            </w:rPr>
            <w:t>人防配置表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_Toc8405 \h </w:instrText>
          </w:r>
          <w:r>
            <w:rPr>
              <w:rFonts w:hint="eastAsia" w:ascii="宋体" w:hAnsi="宋体" w:eastAsia="宋体" w:cs="宋体"/>
              <w:sz w:val="24"/>
              <w:szCs w:val="24"/>
            </w:rPr>
            <w:fldChar w:fldCharType="separate"/>
          </w:r>
          <w:r>
            <w:rPr>
              <w:rFonts w:hint="eastAsia" w:ascii="宋体" w:hAnsi="宋体" w:eastAsia="宋体" w:cs="宋体"/>
              <w:sz w:val="24"/>
              <w:szCs w:val="24"/>
            </w:rPr>
            <w:t>51</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29"/>
            <w:tabs>
              <w:tab w:val="right" w:leader="dot" w:pos="9354"/>
            </w:tabs>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_Toc8138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rPr>
            <w:t>附录</w:t>
          </w:r>
          <w:r>
            <w:rPr>
              <w:rFonts w:hint="eastAsia" w:ascii="宋体" w:hAnsi="宋体" w:eastAsia="宋体" w:cs="宋体"/>
              <w:sz w:val="24"/>
              <w:szCs w:val="24"/>
              <w:highlight w:val="none"/>
              <w:lang w:val="en-US" w:eastAsia="zh-CN"/>
            </w:rPr>
            <w:t xml:space="preserve">E  </w:t>
          </w:r>
          <w:r>
            <w:rPr>
              <w:rFonts w:hint="eastAsia" w:ascii="宋体" w:hAnsi="宋体" w:eastAsia="宋体" w:cs="宋体"/>
              <w:sz w:val="24"/>
              <w:szCs w:val="24"/>
              <w:highlight w:val="none"/>
              <w:lang w:val="zh-CN" w:eastAsia="zh-CN"/>
            </w:rPr>
            <w:t>重要部位分类</w:t>
          </w:r>
          <w:r>
            <w:rPr>
              <w:rFonts w:hint="eastAsia" w:ascii="宋体" w:hAnsi="宋体" w:eastAsia="宋体" w:cs="宋体"/>
              <w:sz w:val="24"/>
              <w:szCs w:val="24"/>
              <w:highlight w:val="none"/>
              <w:lang w:val="en-US" w:eastAsia="zh-CN"/>
            </w:rPr>
            <w:t>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_Toc8138 \h </w:instrText>
          </w:r>
          <w:r>
            <w:rPr>
              <w:rFonts w:hint="eastAsia" w:ascii="宋体" w:hAnsi="宋体" w:eastAsia="宋体" w:cs="宋体"/>
              <w:sz w:val="24"/>
              <w:szCs w:val="24"/>
            </w:rPr>
            <w:fldChar w:fldCharType="separate"/>
          </w:r>
          <w:r>
            <w:rPr>
              <w:rFonts w:hint="eastAsia" w:ascii="宋体" w:hAnsi="宋体" w:eastAsia="宋体" w:cs="宋体"/>
              <w:sz w:val="24"/>
              <w:szCs w:val="24"/>
            </w:rPr>
            <w:t>52</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29"/>
            <w:tabs>
              <w:tab w:val="right" w:leader="dot" w:pos="9354"/>
            </w:tabs>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_Toc22641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rPr>
            <w:t>附录</w:t>
          </w:r>
          <w:r>
            <w:rPr>
              <w:rFonts w:hint="eastAsia" w:ascii="宋体" w:hAnsi="宋体" w:eastAsia="宋体" w:cs="宋体"/>
              <w:sz w:val="24"/>
              <w:szCs w:val="24"/>
              <w:highlight w:val="none"/>
              <w:lang w:val="en-US" w:eastAsia="zh-CN"/>
            </w:rPr>
            <w:t xml:space="preserve">F  </w:t>
          </w:r>
          <w:r>
            <w:rPr>
              <w:rFonts w:hint="eastAsia" w:ascii="宋体" w:hAnsi="宋体" w:eastAsia="宋体" w:cs="宋体"/>
              <w:sz w:val="24"/>
              <w:szCs w:val="24"/>
              <w:highlight w:val="none"/>
              <w:lang w:val="zh-CN" w:eastAsia="zh-CN"/>
            </w:rPr>
            <w:t>建筑物内公共区域保洁服务标准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_Toc22641 \h </w:instrText>
          </w:r>
          <w:r>
            <w:rPr>
              <w:rFonts w:hint="eastAsia" w:ascii="宋体" w:hAnsi="宋体" w:eastAsia="宋体" w:cs="宋体"/>
              <w:sz w:val="24"/>
              <w:szCs w:val="24"/>
            </w:rPr>
            <w:fldChar w:fldCharType="separate"/>
          </w:r>
          <w:r>
            <w:rPr>
              <w:rFonts w:hint="eastAsia" w:ascii="宋体" w:hAnsi="宋体" w:eastAsia="宋体" w:cs="宋体"/>
              <w:sz w:val="24"/>
              <w:szCs w:val="24"/>
            </w:rPr>
            <w:t>53</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29"/>
            <w:tabs>
              <w:tab w:val="right" w:leader="dot" w:pos="9354"/>
            </w:tabs>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_Toc31127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rPr>
            <w:t>附录</w:t>
          </w:r>
          <w:r>
            <w:rPr>
              <w:rFonts w:hint="eastAsia" w:ascii="宋体" w:hAnsi="宋体" w:eastAsia="宋体" w:cs="宋体"/>
              <w:sz w:val="24"/>
              <w:szCs w:val="24"/>
              <w:highlight w:val="none"/>
              <w:lang w:val="en-US" w:eastAsia="zh-CN"/>
            </w:rPr>
            <w:t xml:space="preserve">G  </w:t>
          </w:r>
          <w:r>
            <w:rPr>
              <w:rFonts w:hint="eastAsia" w:ascii="宋体" w:hAnsi="宋体" w:eastAsia="宋体" w:cs="宋体"/>
              <w:sz w:val="24"/>
              <w:szCs w:val="24"/>
              <w:highlight w:val="none"/>
              <w:lang w:val="zh-CN" w:eastAsia="zh-CN"/>
            </w:rPr>
            <w:t>建筑物</w:t>
          </w:r>
          <w:r>
            <w:rPr>
              <w:rFonts w:hint="eastAsia" w:ascii="宋体" w:hAnsi="宋体" w:eastAsia="宋体" w:cs="宋体"/>
              <w:sz w:val="24"/>
              <w:szCs w:val="24"/>
              <w:highlight w:val="none"/>
              <w:lang w:val="en-US" w:eastAsia="zh-CN"/>
            </w:rPr>
            <w:t>外</w:t>
          </w:r>
          <w:r>
            <w:rPr>
              <w:rFonts w:hint="eastAsia" w:ascii="宋体" w:hAnsi="宋体" w:eastAsia="宋体" w:cs="宋体"/>
              <w:sz w:val="24"/>
              <w:szCs w:val="24"/>
              <w:highlight w:val="none"/>
              <w:lang w:val="zh-CN" w:eastAsia="zh-CN"/>
            </w:rPr>
            <w:t>公共区域保洁服务标准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_Toc31127 \h </w:instrText>
          </w:r>
          <w:r>
            <w:rPr>
              <w:rFonts w:hint="eastAsia" w:ascii="宋体" w:hAnsi="宋体" w:eastAsia="宋体" w:cs="宋体"/>
              <w:sz w:val="24"/>
              <w:szCs w:val="24"/>
            </w:rPr>
            <w:fldChar w:fldCharType="separate"/>
          </w:r>
          <w:r>
            <w:rPr>
              <w:rFonts w:hint="eastAsia" w:ascii="宋体" w:hAnsi="宋体" w:eastAsia="宋体" w:cs="宋体"/>
              <w:sz w:val="24"/>
              <w:szCs w:val="24"/>
            </w:rPr>
            <w:t>55</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29"/>
            <w:tabs>
              <w:tab w:val="right" w:leader="dot" w:pos="9354"/>
            </w:tabs>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_Toc12740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rPr>
            <w:t>条 文 说 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_Toc12740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val="en-US" w:eastAsia="zh-CN"/>
            </w:rPr>
            <w:fldChar w:fldCharType="end"/>
          </w:r>
        </w:p>
        <w:p>
          <w:pPr>
            <w:pStyle w:val="29"/>
            <w:keepNext w:val="0"/>
            <w:keepLines w:val="0"/>
            <w:pageBreakBefore w:val="0"/>
            <w:widowControl w:val="0"/>
            <w:tabs>
              <w:tab w:val="right" w:leader="dot" w:pos="9241"/>
            </w:tabs>
            <w:kinsoku/>
            <w:wordWrap/>
            <w:overflowPunct/>
            <w:topLinePunct w:val="0"/>
            <w:autoSpaceDE/>
            <w:autoSpaceDN/>
            <w:bidi w:val="0"/>
            <w:adjustRightInd/>
            <w:snapToGri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Cs w:val="24"/>
              <w:highlight w:val="none"/>
              <w:lang w:val="en-US" w:eastAsia="zh-CN"/>
            </w:rPr>
            <w:fldChar w:fldCharType="end"/>
          </w:r>
        </w:p>
      </w:sdtContent>
    </w:sdt>
    <w:p>
      <w:pPr>
        <w:pStyle w:val="29"/>
        <w:tabs>
          <w:tab w:val="right" w:leader="dot" w:pos="9241"/>
        </w:tabs>
        <w:spacing w:before="78" w:after="78"/>
        <w:rPr>
          <w:rFonts w:hint="eastAsia" w:ascii="宋体" w:hAnsi="宋体" w:eastAsia="宋体" w:cs="宋体"/>
          <w:color w:val="auto"/>
          <w:sz w:val="24"/>
          <w:szCs w:val="24"/>
          <w:highlight w:val="none"/>
          <w:lang w:val="en-US" w:eastAsia="zh-CN"/>
        </w:rPr>
      </w:pPr>
    </w:p>
    <w:p>
      <w:pPr>
        <w:rPr>
          <w:rFonts w:hint="eastAsia" w:ascii="宋体" w:hAnsi="宋体" w:eastAsia="宋体" w:cs="宋体"/>
          <w:color w:val="auto"/>
          <w:sz w:val="24"/>
          <w:szCs w:val="24"/>
          <w:highlight w:val="none"/>
          <w:lang w:val="en-US" w:eastAsia="zh-CN"/>
        </w:rPr>
      </w:pPr>
    </w:p>
    <w:p>
      <w:pPr>
        <w:rPr>
          <w:rFonts w:hint="eastAsia" w:ascii="宋体" w:hAnsi="宋体" w:eastAsia="宋体" w:cs="宋体"/>
          <w:color w:val="auto"/>
          <w:sz w:val="24"/>
          <w:szCs w:val="24"/>
          <w:highlight w:val="none"/>
          <w:lang w:val="en-US" w:eastAsia="zh-CN"/>
        </w:rPr>
      </w:pPr>
    </w:p>
    <w:p>
      <w:pPr>
        <w:rPr>
          <w:rFonts w:hint="eastAsia" w:ascii="宋体" w:hAnsi="宋体" w:eastAsia="宋体" w:cs="宋体"/>
          <w:color w:val="auto"/>
          <w:sz w:val="24"/>
          <w:szCs w:val="24"/>
          <w:highlight w:val="none"/>
          <w:lang w:val="en-US" w:eastAsia="zh-CN"/>
        </w:rPr>
      </w:pPr>
    </w:p>
    <w:p>
      <w:pPr>
        <w:rPr>
          <w:rFonts w:hint="eastAsia" w:ascii="宋体" w:hAnsi="宋体" w:eastAsia="宋体" w:cs="宋体"/>
          <w:color w:val="auto"/>
          <w:sz w:val="24"/>
          <w:szCs w:val="24"/>
          <w:highlight w:val="none"/>
          <w:lang w:val="en-US" w:eastAsia="zh-CN"/>
        </w:rPr>
      </w:pPr>
    </w:p>
    <w:p>
      <w:pPr>
        <w:rPr>
          <w:rFonts w:hint="eastAsia" w:ascii="宋体" w:hAnsi="宋体" w:eastAsia="宋体" w:cs="宋体"/>
          <w:color w:val="auto"/>
          <w:sz w:val="24"/>
          <w:szCs w:val="24"/>
          <w:highlight w:val="none"/>
          <w:lang w:val="en-US" w:eastAsia="zh-CN"/>
        </w:rPr>
      </w:pPr>
    </w:p>
    <w:p>
      <w:pPr>
        <w:rPr>
          <w:rFonts w:hint="eastAsia" w:ascii="宋体" w:hAnsi="宋体" w:eastAsia="宋体" w:cs="宋体"/>
          <w:color w:val="auto"/>
          <w:sz w:val="24"/>
          <w:szCs w:val="24"/>
          <w:highlight w:val="none"/>
          <w:lang w:val="en-US" w:eastAsia="zh-CN"/>
        </w:rPr>
      </w:pPr>
    </w:p>
    <w:p>
      <w:pPr>
        <w:rPr>
          <w:rFonts w:hint="eastAsia" w:ascii="宋体" w:hAnsi="宋体" w:eastAsia="宋体" w:cs="宋体"/>
          <w:color w:val="auto"/>
          <w:sz w:val="24"/>
          <w:szCs w:val="24"/>
          <w:highlight w:val="none"/>
          <w:lang w:val="en-US" w:eastAsia="zh-CN"/>
        </w:rPr>
      </w:pPr>
    </w:p>
    <w:p>
      <w:pPr>
        <w:rPr>
          <w:rFonts w:hint="eastAsia" w:ascii="宋体" w:hAnsi="宋体" w:eastAsia="宋体" w:cs="宋体"/>
          <w:color w:val="auto"/>
          <w:sz w:val="24"/>
          <w:szCs w:val="24"/>
          <w:highlight w:val="none"/>
          <w:lang w:val="en-US" w:eastAsia="zh-CN"/>
        </w:rPr>
      </w:pPr>
    </w:p>
    <w:p>
      <w:pPr>
        <w:rPr>
          <w:rFonts w:hint="eastAsia" w:ascii="宋体" w:hAnsi="宋体" w:eastAsia="宋体" w:cs="宋体"/>
          <w:color w:val="auto"/>
          <w:sz w:val="24"/>
          <w:szCs w:val="24"/>
          <w:highlight w:val="none"/>
          <w:lang w:val="en-US" w:eastAsia="zh-CN"/>
        </w:rPr>
      </w:pPr>
    </w:p>
    <w:p>
      <w:pPr>
        <w:rPr>
          <w:rFonts w:hint="eastAsia" w:ascii="宋体" w:hAnsi="宋体" w:eastAsia="宋体" w:cs="宋体"/>
          <w:color w:val="auto"/>
          <w:sz w:val="24"/>
          <w:szCs w:val="24"/>
          <w:highlight w:val="none"/>
          <w:lang w:val="en-US" w:eastAsia="zh-CN"/>
        </w:rPr>
      </w:pPr>
    </w:p>
    <w:p>
      <w:pPr>
        <w:rPr>
          <w:rFonts w:hint="eastAsia" w:ascii="宋体" w:hAnsi="宋体" w:eastAsia="宋体" w:cs="宋体"/>
          <w:color w:val="auto"/>
          <w:sz w:val="24"/>
          <w:szCs w:val="24"/>
          <w:highlight w:val="none"/>
          <w:lang w:val="en-US" w:eastAsia="zh-CN"/>
        </w:rPr>
      </w:pPr>
    </w:p>
    <w:p>
      <w:pPr>
        <w:rPr>
          <w:rFonts w:hint="eastAsia" w:ascii="宋体" w:hAnsi="宋体" w:eastAsia="宋体" w:cs="宋体"/>
          <w:color w:val="auto"/>
          <w:sz w:val="24"/>
          <w:szCs w:val="24"/>
          <w:highlight w:val="none"/>
          <w:lang w:val="en-US" w:eastAsia="zh-CN"/>
        </w:rPr>
      </w:pPr>
    </w:p>
    <w:p>
      <w:pPr>
        <w:rPr>
          <w:rFonts w:hint="eastAsia" w:ascii="宋体" w:hAnsi="宋体" w:eastAsia="宋体" w:cs="宋体"/>
          <w:color w:val="auto"/>
          <w:sz w:val="24"/>
          <w:szCs w:val="24"/>
          <w:highlight w:val="none"/>
          <w:lang w:val="en-US" w:eastAsia="zh-CN"/>
        </w:rPr>
      </w:pPr>
    </w:p>
    <w:p>
      <w:pPr>
        <w:pStyle w:val="20"/>
        <w:rPr>
          <w:rFonts w:hint="eastAsia" w:ascii="宋体" w:hAnsi="宋体" w:eastAsia="宋体" w:cs="宋体"/>
          <w:color w:val="auto"/>
          <w:sz w:val="24"/>
          <w:szCs w:val="24"/>
          <w:highlight w:val="none"/>
          <w:lang w:val="en-US" w:eastAsia="zh-CN"/>
        </w:rPr>
      </w:pPr>
    </w:p>
    <w:p>
      <w:pPr>
        <w:pStyle w:val="20"/>
        <w:rPr>
          <w:rFonts w:hint="eastAsia" w:ascii="宋体" w:hAnsi="宋体" w:eastAsia="宋体" w:cs="宋体"/>
          <w:color w:val="auto"/>
          <w:sz w:val="24"/>
          <w:szCs w:val="24"/>
          <w:highlight w:val="none"/>
          <w:lang w:val="en-US" w:eastAsia="zh-CN"/>
        </w:rPr>
      </w:pPr>
    </w:p>
    <w:p>
      <w:pPr>
        <w:pStyle w:val="20"/>
        <w:rPr>
          <w:rFonts w:hint="eastAsia" w:ascii="宋体" w:hAnsi="宋体" w:eastAsia="宋体" w:cs="宋体"/>
          <w:color w:val="auto"/>
          <w:sz w:val="24"/>
          <w:szCs w:val="24"/>
          <w:highlight w:val="none"/>
          <w:lang w:val="en-US" w:eastAsia="zh-CN"/>
        </w:rPr>
      </w:pPr>
    </w:p>
    <w:p>
      <w:pPr>
        <w:pStyle w:val="20"/>
        <w:rPr>
          <w:rFonts w:hint="eastAsia" w:ascii="宋体" w:hAnsi="宋体" w:eastAsia="宋体" w:cs="宋体"/>
          <w:color w:val="auto"/>
          <w:sz w:val="24"/>
          <w:szCs w:val="24"/>
          <w:highlight w:val="none"/>
          <w:lang w:val="en-US" w:eastAsia="zh-CN"/>
        </w:rPr>
      </w:pPr>
    </w:p>
    <w:p>
      <w:pPr>
        <w:keepNext w:val="0"/>
        <w:keepLines w:val="0"/>
        <w:pageBreakBefore w:val="0"/>
        <w:tabs>
          <w:tab w:val="left" w:leader="dot" w:pos="10500"/>
        </w:tabs>
        <w:kinsoku/>
        <w:wordWrap/>
        <w:overflowPunct/>
        <w:topLinePunct w:val="0"/>
        <w:autoSpaceDE/>
        <w:autoSpaceDN/>
        <w:bidi w:val="0"/>
        <w:adjustRightInd/>
        <w:snapToGrid/>
        <w:jc w:val="center"/>
        <w:textAlignment w:val="auto"/>
        <w:rPr>
          <w:rFonts w:hint="default" w:ascii="Times New Roman" w:hAnsi="Times New Roman" w:cs="Times New Roman"/>
          <w:b/>
          <w:color w:val="auto"/>
          <w:sz w:val="36"/>
          <w:szCs w:val="36"/>
          <w:highlight w:val="none"/>
          <w:lang w:val="en-US" w:eastAsia="zh-CN"/>
        </w:rPr>
      </w:pPr>
      <w:r>
        <w:rPr>
          <w:rFonts w:hint="default" w:ascii="Times New Roman" w:hAnsi="Times New Roman" w:cs="Times New Roman"/>
          <w:b/>
          <w:color w:val="auto"/>
          <w:sz w:val="36"/>
          <w:szCs w:val="36"/>
          <w:highlight w:val="none"/>
          <w:lang w:val="en-US" w:eastAsia="zh-CN"/>
        </w:rPr>
        <w:t>Contents</w:t>
      </w:r>
    </w:p>
    <w:p>
      <w:pPr>
        <w:keepNext w:val="0"/>
        <w:keepLines w:val="0"/>
        <w:pageBreakBefore w:val="0"/>
        <w:tabs>
          <w:tab w:val="left" w:leader="dot" w:pos="10500"/>
        </w:tabs>
        <w:kinsoku/>
        <w:wordWrap/>
        <w:overflowPunct/>
        <w:topLinePunct w:val="0"/>
        <w:autoSpaceDE/>
        <w:autoSpaceDN/>
        <w:bidi w:val="0"/>
        <w:adjustRightInd/>
        <w:snapToGrid/>
        <w:jc w:val="center"/>
        <w:textAlignment w:val="auto"/>
        <w:rPr>
          <w:rFonts w:hint="default" w:ascii="Times New Roman" w:hAnsi="Times New Roman" w:cs="Times New Roman"/>
          <w:b/>
          <w:color w:val="auto"/>
          <w:sz w:val="36"/>
          <w:szCs w:val="36"/>
          <w:highlight w:val="none"/>
          <w:lang w:val="en-US" w:eastAsia="zh-CN"/>
        </w:rPr>
      </w:pP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Chars="0"/>
        <w:jc w:val="both"/>
        <w:textAlignment w:val="auto"/>
        <w:outlineLvl w:val="0"/>
        <w:rPr>
          <w:rFonts w:hint="default" w:ascii="Times New Roman" w:hAnsi="Times New Roman" w:eastAsia="宋体" w:cs="Times New Roman"/>
          <w:sz w:val="24"/>
          <w:szCs w:val="24"/>
          <w:highlight w:val="none"/>
          <w:lang w:val="en-US"/>
        </w:rPr>
      </w:pPr>
      <w:bookmarkStart w:id="12" w:name="_Toc31107"/>
      <w:r>
        <w:rPr>
          <w:rFonts w:hint="eastAsia" w:ascii="Times New Roman" w:hAnsi="Times New Roman" w:eastAsia="宋体" w:cs="Times New Roman"/>
          <w:sz w:val="24"/>
          <w:szCs w:val="24"/>
          <w:highlight w:val="none"/>
          <w:lang w:val="en-US" w:eastAsia="zh-CN"/>
        </w:rPr>
        <w:t xml:space="preserve">1  </w:t>
      </w:r>
      <w:r>
        <w:rPr>
          <w:rFonts w:hint="default" w:ascii="Times New Roman" w:hAnsi="Times New Roman" w:eastAsia="宋体" w:cs="Times New Roman"/>
          <w:sz w:val="24"/>
          <w:szCs w:val="24"/>
          <w:highlight w:val="none"/>
        </w:rPr>
        <w:t>General Provisions</w:t>
      </w:r>
      <w:r>
        <w:rPr>
          <w:rFonts w:hint="eastAsia" w:ascii="Times New Roman" w:hAnsi="Times New Roman" w:eastAsia="宋体" w:cs="Times New Roman"/>
          <w:sz w:val="24"/>
          <w:szCs w:val="24"/>
          <w:highlight w:val="none"/>
          <w:lang w:val="en-US" w:eastAsia="zh-CN"/>
        </w:rPr>
        <w:tab/>
      </w:r>
      <w:bookmarkEnd w:id="12"/>
      <w:r>
        <w:rPr>
          <w:rFonts w:hint="eastAsia" w:ascii="Times New Roman" w:hAnsi="Times New Roman" w:cs="Times New Roman"/>
          <w:sz w:val="24"/>
          <w:szCs w:val="24"/>
          <w:highlight w:val="none"/>
          <w:lang w:val="en-US" w:eastAsia="zh-CN"/>
        </w:rPr>
        <w:t>6</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Chars="0"/>
        <w:jc w:val="both"/>
        <w:textAlignment w:val="auto"/>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val="en-US" w:eastAsia="zh-CN"/>
        </w:rPr>
        <w:t xml:space="preserve">2  </w:t>
      </w:r>
      <w:r>
        <w:rPr>
          <w:rFonts w:hint="default" w:ascii="Times New Roman" w:hAnsi="Times New Roman" w:eastAsia="宋体" w:cs="Times New Roman"/>
          <w:sz w:val="24"/>
          <w:szCs w:val="24"/>
          <w:highlight w:val="none"/>
        </w:rPr>
        <w:t>Terms and Definitions</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7</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Chars="0"/>
        <w:jc w:val="both"/>
        <w:textAlignment w:val="auto"/>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 xml:space="preserve">3  </w:t>
      </w:r>
      <w:r>
        <w:rPr>
          <w:rFonts w:hint="default" w:ascii="Times New Roman" w:hAnsi="Times New Roman" w:eastAsia="宋体" w:cs="Times New Roman"/>
          <w:sz w:val="24"/>
          <w:szCs w:val="24"/>
          <w:highlight w:val="none"/>
        </w:rPr>
        <w:t xml:space="preserve">Classification of Management and Service Areas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8</w:t>
      </w:r>
      <w:r>
        <w:rPr>
          <w:rFonts w:hint="default" w:ascii="Times New Roman" w:hAnsi="Times New Roman" w:eastAsia="宋体" w:cs="Times New Roman"/>
          <w:sz w:val="24"/>
          <w:szCs w:val="24"/>
          <w:highlight w:val="none"/>
        </w:rPr>
        <w:t xml:space="preserve"> </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420" w:leftChars="20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3.1 Classification of Management Areas </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8</w:t>
      </w:r>
      <w:r>
        <w:rPr>
          <w:rFonts w:hint="default" w:ascii="Times New Roman" w:hAnsi="Times New Roman" w:cs="Times New Roman"/>
          <w:sz w:val="24"/>
          <w:szCs w:val="24"/>
          <w:highlight w:val="none"/>
        </w:rPr>
        <w:t xml:space="preserve"> </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420" w:leftChars="200"/>
        <w:jc w:val="both"/>
        <w:textAlignment w:val="auto"/>
        <w:rPr>
          <w:rFonts w:hint="eastAsia" w:ascii="Times New Roman" w:hAnsi="Times New Roman" w:eastAsia="宋体" w:cs="Times New Roman"/>
          <w:sz w:val="24"/>
          <w:szCs w:val="24"/>
          <w:highlight w:val="none"/>
          <w:lang w:eastAsia="zh-CN"/>
        </w:rPr>
      </w:pPr>
      <w:r>
        <w:rPr>
          <w:rFonts w:hint="default" w:ascii="Times New Roman" w:hAnsi="Times New Roman" w:cs="Times New Roman"/>
          <w:sz w:val="24"/>
          <w:szCs w:val="24"/>
          <w:highlight w:val="none"/>
        </w:rPr>
        <w:t xml:space="preserve">3.2 Classification of On-site Service Areas for Property Service Personnel </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8</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Chars="0"/>
        <w:jc w:val="both"/>
        <w:textAlignment w:val="auto"/>
        <w:outlineLvl w:val="0"/>
        <w:rPr>
          <w:rFonts w:hint="default" w:ascii="Times New Roman" w:hAnsi="Times New Roman" w:cs="Times New Roman"/>
          <w:sz w:val="24"/>
          <w:szCs w:val="24"/>
          <w:highlight w:val="none"/>
        </w:rPr>
      </w:pPr>
      <w:bookmarkStart w:id="13" w:name="_Toc23042"/>
      <w:r>
        <w:rPr>
          <w:rFonts w:hint="eastAsia" w:ascii="Times New Roman" w:hAnsi="Times New Roman" w:cs="Times New Roman"/>
          <w:sz w:val="24"/>
          <w:szCs w:val="24"/>
          <w:highlight w:val="none"/>
          <w:lang w:val="en-US" w:eastAsia="zh-CN"/>
        </w:rPr>
        <w:t xml:space="preserve">4  </w:t>
      </w:r>
      <w:r>
        <w:rPr>
          <w:rFonts w:hint="default" w:ascii="Times New Roman" w:hAnsi="Times New Roman" w:cs="Times New Roman"/>
          <w:sz w:val="24"/>
          <w:szCs w:val="24"/>
          <w:highlight w:val="none"/>
        </w:rPr>
        <w:t>Basic Requirements</w:t>
      </w:r>
      <w:r>
        <w:rPr>
          <w:rFonts w:hint="eastAsia" w:ascii="Times New Roman" w:hAnsi="Times New Roman" w:cs="Times New Roman"/>
          <w:sz w:val="24"/>
          <w:szCs w:val="24"/>
          <w:highlight w:val="none"/>
          <w:lang w:val="en-US" w:eastAsia="zh-CN"/>
        </w:rPr>
        <w:tab/>
      </w:r>
      <w:bookmarkEnd w:id="13"/>
      <w:r>
        <w:rPr>
          <w:rFonts w:hint="eastAsia" w:ascii="Times New Roman" w:hAnsi="Times New Roman" w:cs="Times New Roman"/>
          <w:sz w:val="24"/>
          <w:szCs w:val="24"/>
          <w:highlight w:val="none"/>
          <w:lang w:val="en-US" w:eastAsia="zh-CN"/>
        </w:rPr>
        <w:t>9</w:t>
      </w:r>
      <w:r>
        <w:rPr>
          <w:rFonts w:hint="default" w:ascii="Times New Roman" w:hAnsi="Times New Roman" w:cs="Times New Roman"/>
          <w:sz w:val="24"/>
          <w:szCs w:val="24"/>
          <w:highlight w:val="none"/>
        </w:rPr>
        <w:t xml:space="preserve"> </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420" w:leftChars="200" w:firstLine="0" w:firstLineChars="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4.1 Personnel Requirements </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9</w:t>
      </w:r>
      <w:r>
        <w:rPr>
          <w:rFonts w:hint="default" w:ascii="Times New Roman" w:hAnsi="Times New Roman" w:cs="Times New Roman"/>
          <w:sz w:val="24"/>
          <w:szCs w:val="24"/>
          <w:highlight w:val="none"/>
        </w:rPr>
        <w:t xml:space="preserve"> </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420" w:left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4.2 Financial Management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9</w:t>
      </w:r>
      <w:r>
        <w:rPr>
          <w:rFonts w:hint="default" w:ascii="Times New Roman" w:hAnsi="Times New Roman" w:eastAsia="宋体" w:cs="Times New Roman"/>
          <w:sz w:val="24"/>
          <w:szCs w:val="24"/>
          <w:highlight w:val="none"/>
        </w:rPr>
        <w:t xml:space="preserve"> </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420" w:left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4.3 Archives Management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9</w:t>
      </w:r>
      <w:r>
        <w:rPr>
          <w:rFonts w:hint="default" w:ascii="Times New Roman" w:hAnsi="Times New Roman" w:eastAsia="宋体" w:cs="Times New Roman"/>
          <w:sz w:val="24"/>
          <w:szCs w:val="24"/>
          <w:highlight w:val="none"/>
        </w:rPr>
        <w:t xml:space="preserve"> </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420" w:left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4.4 Confidentiality Management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10</w:t>
      </w:r>
      <w:r>
        <w:rPr>
          <w:rFonts w:hint="default" w:ascii="Times New Roman" w:hAnsi="Times New Roman" w:eastAsia="宋体" w:cs="Times New Roman"/>
          <w:sz w:val="24"/>
          <w:szCs w:val="24"/>
          <w:highlight w:val="none"/>
        </w:rPr>
        <w:t xml:space="preserve"> </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420" w:leftChars="200"/>
        <w:jc w:val="both"/>
        <w:textAlignment w:val="auto"/>
        <w:outlineLvl w:val="1"/>
        <w:rPr>
          <w:rFonts w:hint="default" w:ascii="Times New Roman" w:hAnsi="Times New Roman" w:eastAsia="宋体" w:cs="Times New Roman"/>
          <w:sz w:val="24"/>
          <w:szCs w:val="24"/>
          <w:highlight w:val="none"/>
          <w:lang w:val="en-US" w:eastAsia="zh-CN"/>
        </w:rPr>
      </w:pPr>
      <w:bookmarkStart w:id="14" w:name="_Toc25215"/>
      <w:r>
        <w:rPr>
          <w:rFonts w:hint="default" w:ascii="Times New Roman" w:hAnsi="Times New Roman" w:eastAsia="宋体" w:cs="Times New Roman"/>
          <w:sz w:val="24"/>
          <w:szCs w:val="24"/>
          <w:highlight w:val="none"/>
        </w:rPr>
        <w:t xml:space="preserve">4.5 Identification Management </w:t>
      </w:r>
      <w:r>
        <w:rPr>
          <w:rFonts w:hint="eastAsia" w:ascii="Times New Roman" w:hAnsi="Times New Roman" w:eastAsia="宋体" w:cs="Times New Roman"/>
          <w:sz w:val="24"/>
          <w:szCs w:val="24"/>
          <w:highlight w:val="none"/>
          <w:lang w:val="en-US" w:eastAsia="zh-CN"/>
        </w:rPr>
        <w:tab/>
      </w:r>
      <w:bookmarkEnd w:id="14"/>
      <w:r>
        <w:rPr>
          <w:rFonts w:hint="eastAsia" w:ascii="Times New Roman" w:hAnsi="Times New Roman" w:cs="Times New Roman"/>
          <w:sz w:val="24"/>
          <w:szCs w:val="24"/>
          <w:highlight w:val="none"/>
          <w:lang w:val="en-US" w:eastAsia="zh-CN"/>
        </w:rPr>
        <w:t>10</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Chars="0"/>
        <w:jc w:val="both"/>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 xml:space="preserve">5  </w:t>
      </w:r>
      <w:r>
        <w:rPr>
          <w:rFonts w:hint="default" w:ascii="Times New Roman" w:hAnsi="Times New Roman" w:eastAsia="宋体" w:cs="Times New Roman"/>
          <w:sz w:val="24"/>
          <w:szCs w:val="24"/>
          <w:highlight w:val="none"/>
        </w:rPr>
        <w:t xml:space="preserve">Operational Safety Management Requirements for Electric Power Generation Sites </w:t>
      </w:r>
      <w:r>
        <w:rPr>
          <w:rFonts w:hint="eastAsia" w:ascii="Times New Roman" w:hAnsi="Times New Roman" w:cs="Times New Roman"/>
          <w:sz w:val="24"/>
          <w:szCs w:val="24"/>
          <w:highlight w:val="none"/>
          <w:lang w:val="en-US" w:eastAsia="zh-CN"/>
        </w:rPr>
        <w:t>11</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Chars="0"/>
        <w:jc w:val="both"/>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 xml:space="preserve">6  </w:t>
      </w:r>
      <w:r>
        <w:rPr>
          <w:rFonts w:hint="default" w:ascii="Times New Roman" w:hAnsi="Times New Roman" w:eastAsia="宋体" w:cs="Times New Roman"/>
          <w:sz w:val="24"/>
          <w:szCs w:val="24"/>
          <w:highlight w:val="none"/>
        </w:rPr>
        <w:t>Inspection and Acceptance</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12</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Chars="0"/>
        <w:jc w:val="both"/>
        <w:textAlignment w:val="auto"/>
        <w:outlineLvl w:val="0"/>
        <w:rPr>
          <w:rFonts w:hint="default" w:ascii="Times New Roman" w:hAnsi="Times New Roman" w:eastAsia="宋体" w:cs="Times New Roman"/>
          <w:sz w:val="24"/>
          <w:szCs w:val="24"/>
          <w:highlight w:val="none"/>
        </w:rPr>
      </w:pPr>
      <w:bookmarkStart w:id="15" w:name="_Toc8396"/>
      <w:r>
        <w:rPr>
          <w:rFonts w:hint="eastAsia" w:ascii="Times New Roman" w:hAnsi="Times New Roman" w:eastAsia="宋体" w:cs="Times New Roman"/>
          <w:sz w:val="24"/>
          <w:szCs w:val="24"/>
          <w:highlight w:val="none"/>
          <w:lang w:val="en-US" w:eastAsia="zh-CN"/>
        </w:rPr>
        <w:t xml:space="preserve">7  </w:t>
      </w:r>
      <w:r>
        <w:rPr>
          <w:rFonts w:hint="default" w:ascii="Times New Roman" w:hAnsi="Times New Roman" w:eastAsia="宋体" w:cs="Times New Roman"/>
          <w:sz w:val="24"/>
          <w:szCs w:val="24"/>
          <w:highlight w:val="none"/>
        </w:rPr>
        <w:t xml:space="preserve">Comprehensive Services </w:t>
      </w:r>
      <w:r>
        <w:rPr>
          <w:rFonts w:hint="eastAsia" w:ascii="Times New Roman" w:hAnsi="Times New Roman" w:eastAsia="宋体" w:cs="Times New Roman"/>
          <w:sz w:val="24"/>
          <w:szCs w:val="24"/>
          <w:highlight w:val="none"/>
          <w:lang w:val="en-US" w:eastAsia="zh-CN"/>
        </w:rPr>
        <w:tab/>
      </w:r>
      <w:bookmarkEnd w:id="15"/>
      <w:r>
        <w:rPr>
          <w:rFonts w:hint="eastAsia" w:ascii="Times New Roman" w:hAnsi="Times New Roman" w:cs="Times New Roman"/>
          <w:sz w:val="24"/>
          <w:szCs w:val="24"/>
          <w:highlight w:val="none"/>
          <w:lang w:val="en-US" w:eastAsia="zh-CN"/>
        </w:rPr>
        <w:t>13</w:t>
      </w:r>
      <w:r>
        <w:rPr>
          <w:rFonts w:hint="default" w:ascii="Times New Roman" w:hAnsi="Times New Roman" w:eastAsia="宋体" w:cs="Times New Roman"/>
          <w:sz w:val="24"/>
          <w:szCs w:val="24"/>
          <w:highlight w:val="none"/>
        </w:rPr>
        <w:t xml:space="preserve"> </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outlineLvl w:val="1"/>
        <w:rPr>
          <w:rFonts w:hint="default" w:ascii="Times New Roman" w:hAnsi="Times New Roman" w:cs="Times New Roman"/>
          <w:sz w:val="24"/>
          <w:szCs w:val="24"/>
          <w:highlight w:val="none"/>
        </w:rPr>
      </w:pPr>
      <w:bookmarkStart w:id="16" w:name="_Toc7564"/>
      <w:r>
        <w:rPr>
          <w:rFonts w:hint="default" w:ascii="Times New Roman" w:hAnsi="Times New Roman" w:cs="Times New Roman"/>
          <w:sz w:val="24"/>
          <w:szCs w:val="24"/>
          <w:highlight w:val="none"/>
        </w:rPr>
        <w:t>7.1 Customer Service</w:t>
      </w:r>
      <w:r>
        <w:rPr>
          <w:rFonts w:hint="eastAsia" w:ascii="Times New Roman" w:hAnsi="Times New Roman" w:cs="Times New Roman"/>
          <w:sz w:val="24"/>
          <w:szCs w:val="24"/>
          <w:highlight w:val="none"/>
          <w:lang w:val="en-US" w:eastAsia="zh-CN"/>
        </w:rPr>
        <w:tab/>
      </w:r>
      <w:bookmarkEnd w:id="16"/>
      <w:r>
        <w:rPr>
          <w:rFonts w:hint="eastAsia" w:ascii="Times New Roman" w:hAnsi="Times New Roman" w:cs="Times New Roman"/>
          <w:sz w:val="24"/>
          <w:szCs w:val="24"/>
          <w:highlight w:val="none"/>
          <w:lang w:val="en-US" w:eastAsia="zh-CN"/>
        </w:rPr>
        <w:t>13</w:t>
      </w:r>
      <w:r>
        <w:rPr>
          <w:rFonts w:hint="default" w:ascii="Times New Roman" w:hAnsi="Times New Roman" w:cs="Times New Roman"/>
          <w:sz w:val="24"/>
          <w:szCs w:val="24"/>
          <w:highlight w:val="none"/>
        </w:rPr>
        <w:t xml:space="preserve"> </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rPr>
        <w:t xml:space="preserve">7.2 Reporting and Maintenance Requests </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13</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rPr>
        <w:t xml:space="preserve">7.3 Renovation/Construction Supervision Services </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14</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7.4 Convenience Services </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14</w:t>
      </w:r>
      <w:r>
        <w:rPr>
          <w:rFonts w:hint="default" w:ascii="Times New Roman" w:hAnsi="Times New Roman" w:cs="Times New Roman"/>
          <w:sz w:val="24"/>
          <w:szCs w:val="24"/>
          <w:highlight w:val="none"/>
        </w:rPr>
        <w:t xml:space="preserve"> </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0" w:leftChars="0" w:firstLine="420" w:firstLineChars="175"/>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rPr>
        <w:t>7.5 Other Services</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14</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Chars="0"/>
        <w:jc w:val="both"/>
        <w:textAlignment w:val="auto"/>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 xml:space="preserve">8  </w:t>
      </w:r>
      <w:r>
        <w:rPr>
          <w:rFonts w:hint="default" w:ascii="Times New Roman" w:hAnsi="Times New Roman" w:cs="Times New Roman"/>
          <w:sz w:val="24"/>
          <w:szCs w:val="24"/>
          <w:highlight w:val="none"/>
        </w:rPr>
        <w:t xml:space="preserve">Inspection and Maintenance of Buildings </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15</w:t>
      </w:r>
      <w:r>
        <w:rPr>
          <w:rFonts w:hint="default" w:ascii="Times New Roman" w:hAnsi="Times New Roman" w:cs="Times New Roman"/>
          <w:sz w:val="24"/>
          <w:szCs w:val="24"/>
          <w:highlight w:val="none"/>
        </w:rPr>
        <w:t xml:space="preserve"> </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8.1 Housing and Building Structures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15</w:t>
      </w:r>
      <w:r>
        <w:rPr>
          <w:rFonts w:hint="default" w:ascii="Times New Roman" w:hAnsi="Times New Roman" w:eastAsia="宋体" w:cs="Times New Roman"/>
          <w:sz w:val="24"/>
          <w:szCs w:val="24"/>
          <w:highlight w:val="none"/>
        </w:rPr>
        <w:t xml:space="preserve"> </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sz w:val="24"/>
          <w:szCs w:val="24"/>
          <w:highlight w:val="none"/>
        </w:rPr>
        <w:t>8.2 Routine Maintenance of Hydraulic Structures</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15</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Chars="0"/>
        <w:jc w:val="both"/>
        <w:textAlignment w:val="auto"/>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 xml:space="preserve">9  </w:t>
      </w:r>
      <w:r>
        <w:rPr>
          <w:rFonts w:hint="default" w:ascii="Times New Roman" w:hAnsi="Times New Roman" w:cs="Times New Roman"/>
          <w:sz w:val="24"/>
          <w:szCs w:val="24"/>
          <w:highlight w:val="none"/>
        </w:rPr>
        <w:t xml:space="preserve">Facility Equipment Operation Services </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16</w:t>
      </w:r>
      <w:r>
        <w:rPr>
          <w:rFonts w:hint="default" w:ascii="Times New Roman" w:hAnsi="Times New Roman" w:cs="Times New Roman"/>
          <w:sz w:val="24"/>
          <w:szCs w:val="24"/>
          <w:highlight w:val="none"/>
        </w:rPr>
        <w:t xml:space="preserve"> </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sz w:val="24"/>
          <w:szCs w:val="24"/>
          <w:highlight w:val="none"/>
        </w:rPr>
        <w:t xml:space="preserve">9.1 Power Supply and Distribution Systems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16</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outlineLvl w:val="1"/>
        <w:rPr>
          <w:rFonts w:hint="default" w:ascii="Times New Roman" w:hAnsi="Times New Roman" w:eastAsia="宋体" w:cs="Times New Roman"/>
          <w:sz w:val="24"/>
          <w:szCs w:val="24"/>
          <w:highlight w:val="none"/>
        </w:rPr>
      </w:pPr>
      <w:bookmarkStart w:id="17" w:name="_Toc901"/>
      <w:r>
        <w:rPr>
          <w:rFonts w:hint="default" w:ascii="Times New Roman" w:hAnsi="Times New Roman" w:eastAsia="宋体" w:cs="Times New Roman"/>
          <w:sz w:val="24"/>
          <w:szCs w:val="24"/>
          <w:highlight w:val="none"/>
        </w:rPr>
        <w:t xml:space="preserve">9.2 Air Conditioning Systems </w:t>
      </w:r>
      <w:r>
        <w:rPr>
          <w:rFonts w:hint="eastAsia" w:ascii="Times New Roman" w:hAnsi="Times New Roman" w:eastAsia="宋体" w:cs="Times New Roman"/>
          <w:sz w:val="24"/>
          <w:szCs w:val="24"/>
          <w:highlight w:val="none"/>
          <w:lang w:val="en-US" w:eastAsia="zh-CN"/>
        </w:rPr>
        <w:tab/>
      </w:r>
      <w:bookmarkEnd w:id="17"/>
      <w:r>
        <w:rPr>
          <w:rFonts w:hint="eastAsia" w:ascii="Times New Roman" w:hAnsi="Times New Roman" w:cs="Times New Roman"/>
          <w:sz w:val="24"/>
          <w:szCs w:val="24"/>
          <w:highlight w:val="none"/>
          <w:lang w:val="en-US" w:eastAsia="zh-CN"/>
        </w:rPr>
        <w:t>17</w:t>
      </w:r>
      <w:r>
        <w:rPr>
          <w:rFonts w:hint="default" w:ascii="Times New Roman" w:hAnsi="Times New Roman" w:eastAsia="宋体" w:cs="Times New Roman"/>
          <w:sz w:val="24"/>
          <w:szCs w:val="24"/>
          <w:highlight w:val="none"/>
        </w:rPr>
        <w:t xml:space="preserve"> </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9.3 Water Supply and Drainage Systems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18</w:t>
      </w:r>
      <w:r>
        <w:rPr>
          <w:rFonts w:hint="default" w:ascii="Times New Roman" w:hAnsi="Times New Roman" w:eastAsia="宋体" w:cs="Times New Roman"/>
          <w:sz w:val="24"/>
          <w:szCs w:val="24"/>
          <w:highlight w:val="none"/>
        </w:rPr>
        <w:t xml:space="preserve"> </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outlineLvl w:val="1"/>
        <w:rPr>
          <w:rFonts w:hint="default" w:ascii="Times New Roman" w:hAnsi="Times New Roman" w:eastAsia="宋体" w:cs="Times New Roman"/>
          <w:sz w:val="24"/>
          <w:szCs w:val="24"/>
          <w:highlight w:val="none"/>
        </w:rPr>
      </w:pPr>
      <w:bookmarkStart w:id="18" w:name="_Toc29530"/>
      <w:r>
        <w:rPr>
          <w:rFonts w:hint="default" w:ascii="Times New Roman" w:hAnsi="Times New Roman" w:eastAsia="宋体" w:cs="Times New Roman"/>
          <w:sz w:val="24"/>
          <w:szCs w:val="24"/>
          <w:highlight w:val="none"/>
        </w:rPr>
        <w:t xml:space="preserve">9.4 Elevator Systems </w:t>
      </w:r>
      <w:r>
        <w:rPr>
          <w:rFonts w:hint="eastAsia" w:ascii="Times New Roman" w:hAnsi="Times New Roman" w:eastAsia="宋体" w:cs="Times New Roman"/>
          <w:sz w:val="24"/>
          <w:szCs w:val="24"/>
          <w:highlight w:val="none"/>
          <w:lang w:val="en-US" w:eastAsia="zh-CN"/>
        </w:rPr>
        <w:tab/>
      </w:r>
      <w:bookmarkEnd w:id="18"/>
      <w:r>
        <w:rPr>
          <w:rFonts w:hint="eastAsia" w:ascii="Times New Roman" w:hAnsi="Times New Roman" w:cs="Times New Roman"/>
          <w:sz w:val="24"/>
          <w:szCs w:val="24"/>
          <w:highlight w:val="none"/>
          <w:lang w:val="en-US" w:eastAsia="zh-CN"/>
        </w:rPr>
        <w:t>20</w:t>
      </w:r>
      <w:r>
        <w:rPr>
          <w:rFonts w:hint="default" w:ascii="Times New Roman" w:hAnsi="Times New Roman" w:eastAsia="宋体" w:cs="Times New Roman"/>
          <w:sz w:val="24"/>
          <w:szCs w:val="24"/>
          <w:highlight w:val="none"/>
        </w:rPr>
        <w:t xml:space="preserve"> </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9.5 Fire Protection Systems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21</w:t>
      </w:r>
      <w:r>
        <w:rPr>
          <w:rFonts w:hint="default" w:ascii="Times New Roman" w:hAnsi="Times New Roman" w:eastAsia="宋体" w:cs="Times New Roman"/>
          <w:sz w:val="24"/>
          <w:szCs w:val="24"/>
          <w:highlight w:val="none"/>
        </w:rPr>
        <w:t xml:space="preserve"> </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9.6 Lightning Protection Systems for Buildings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22</w:t>
      </w:r>
      <w:r>
        <w:rPr>
          <w:rFonts w:hint="default" w:ascii="Times New Roman" w:hAnsi="Times New Roman" w:eastAsia="宋体" w:cs="Times New Roman"/>
          <w:sz w:val="24"/>
          <w:szCs w:val="24"/>
          <w:highlight w:val="none"/>
        </w:rPr>
        <w:t xml:space="preserve"> </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9.7 Security Technology and Multimedia Systems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23</w:t>
      </w:r>
      <w:r>
        <w:rPr>
          <w:rFonts w:hint="default" w:ascii="Times New Roman" w:hAnsi="Times New Roman" w:eastAsia="宋体" w:cs="Times New Roman"/>
          <w:sz w:val="24"/>
          <w:szCs w:val="24"/>
          <w:highlight w:val="none"/>
        </w:rPr>
        <w:t xml:space="preserve"> </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9.8 Public and Production Area Lighting Systems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23</w:t>
      </w:r>
      <w:r>
        <w:rPr>
          <w:rFonts w:hint="default" w:ascii="Times New Roman" w:hAnsi="Times New Roman" w:eastAsia="宋体" w:cs="Times New Roman"/>
          <w:sz w:val="24"/>
          <w:szCs w:val="24"/>
          <w:highlight w:val="none"/>
        </w:rPr>
        <w:t xml:space="preserve"> </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9.9 Production Area Equipment Cleaning and Maintenance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2</w:t>
      </w:r>
      <w:r>
        <w:rPr>
          <w:rFonts w:hint="default" w:ascii="Times New Roman" w:hAnsi="Times New Roman" w:eastAsia="宋体" w:cs="Times New Roman"/>
          <w:sz w:val="24"/>
          <w:szCs w:val="24"/>
          <w:highlight w:val="none"/>
        </w:rPr>
        <w:t>3</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Chars="0"/>
        <w:jc w:val="both"/>
        <w:textAlignment w:val="auto"/>
        <w:outlineLvl w:val="0"/>
        <w:rPr>
          <w:rFonts w:hint="default" w:ascii="Times New Roman" w:hAnsi="Times New Roman" w:cs="Times New Roman"/>
          <w:sz w:val="24"/>
          <w:szCs w:val="24"/>
          <w:highlight w:val="none"/>
        </w:rPr>
      </w:pPr>
      <w:bookmarkStart w:id="19" w:name="_Toc23372"/>
      <w:r>
        <w:rPr>
          <w:rFonts w:hint="eastAsia" w:ascii="Times New Roman" w:hAnsi="Times New Roman" w:cs="Times New Roman"/>
          <w:sz w:val="24"/>
          <w:szCs w:val="24"/>
          <w:highlight w:val="none"/>
          <w:lang w:val="en-US" w:eastAsia="zh-CN"/>
        </w:rPr>
        <w:t xml:space="preserve">10  </w:t>
      </w:r>
      <w:r>
        <w:rPr>
          <w:rFonts w:hint="default" w:ascii="Times New Roman" w:hAnsi="Times New Roman" w:cs="Times New Roman"/>
          <w:sz w:val="24"/>
          <w:szCs w:val="24"/>
          <w:highlight w:val="none"/>
        </w:rPr>
        <w:t xml:space="preserve">Safety Management </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2</w:t>
      </w:r>
      <w:bookmarkEnd w:id="19"/>
      <w:r>
        <w:rPr>
          <w:rFonts w:hint="eastAsia" w:ascii="Times New Roman" w:hAnsi="Times New Roman" w:cs="Times New Roman"/>
          <w:sz w:val="24"/>
          <w:szCs w:val="24"/>
          <w:highlight w:val="none"/>
          <w:lang w:val="en-US" w:eastAsia="zh-CN"/>
        </w:rPr>
        <w:t>5</w:t>
      </w:r>
      <w:r>
        <w:rPr>
          <w:rFonts w:hint="default" w:ascii="Times New Roman" w:hAnsi="Times New Roman" w:cs="Times New Roman"/>
          <w:sz w:val="24"/>
          <w:szCs w:val="24"/>
          <w:highlight w:val="none"/>
        </w:rPr>
        <w:t xml:space="preserve"> </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outlineLvl w:val="1"/>
        <w:rPr>
          <w:rFonts w:hint="default" w:ascii="Times New Roman" w:hAnsi="Times New Roman" w:eastAsia="宋体" w:cs="Times New Roman"/>
          <w:sz w:val="24"/>
          <w:szCs w:val="24"/>
          <w:highlight w:val="none"/>
        </w:rPr>
      </w:pPr>
      <w:bookmarkStart w:id="20" w:name="_Toc26386"/>
      <w:r>
        <w:rPr>
          <w:rFonts w:hint="default" w:ascii="Times New Roman" w:hAnsi="Times New Roman" w:eastAsia="宋体" w:cs="Times New Roman"/>
          <w:sz w:val="24"/>
          <w:szCs w:val="24"/>
          <w:highlight w:val="none"/>
        </w:rPr>
        <w:t xml:space="preserve">10.1 Access Management </w:t>
      </w:r>
      <w:r>
        <w:rPr>
          <w:rFonts w:hint="eastAsia" w:ascii="Times New Roman" w:hAnsi="Times New Roman" w:eastAsia="宋体" w:cs="Times New Roman"/>
          <w:sz w:val="24"/>
          <w:szCs w:val="24"/>
          <w:highlight w:val="none"/>
          <w:lang w:val="en-US" w:eastAsia="zh-CN"/>
        </w:rPr>
        <w:tab/>
      </w:r>
      <w:bookmarkEnd w:id="20"/>
      <w:r>
        <w:rPr>
          <w:rFonts w:hint="eastAsia" w:ascii="Times New Roman" w:hAnsi="Times New Roman" w:cs="Times New Roman"/>
          <w:sz w:val="24"/>
          <w:szCs w:val="24"/>
          <w:highlight w:val="none"/>
          <w:lang w:val="en-US" w:eastAsia="zh-CN"/>
        </w:rPr>
        <w:t>25</w:t>
      </w:r>
      <w:r>
        <w:rPr>
          <w:rFonts w:hint="default" w:ascii="Times New Roman" w:hAnsi="Times New Roman" w:eastAsia="宋体" w:cs="Times New Roman"/>
          <w:sz w:val="24"/>
          <w:szCs w:val="24"/>
          <w:highlight w:val="none"/>
        </w:rPr>
        <w:t xml:space="preserve"> </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10.2 Traffic and Parking Order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25</w:t>
      </w:r>
      <w:r>
        <w:rPr>
          <w:rFonts w:hint="default" w:ascii="Times New Roman" w:hAnsi="Times New Roman" w:eastAsia="宋体" w:cs="Times New Roman"/>
          <w:sz w:val="24"/>
          <w:szCs w:val="24"/>
          <w:highlight w:val="none"/>
        </w:rPr>
        <w:t xml:space="preserve"> </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10.3 Loading and Unloading Management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25</w:t>
      </w:r>
      <w:r>
        <w:rPr>
          <w:rFonts w:hint="default" w:ascii="Times New Roman" w:hAnsi="Times New Roman" w:eastAsia="宋体" w:cs="Times New Roman"/>
          <w:sz w:val="24"/>
          <w:szCs w:val="24"/>
          <w:highlight w:val="none"/>
        </w:rPr>
        <w:t xml:space="preserve"> </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outlineLvl w:val="1"/>
        <w:rPr>
          <w:rFonts w:hint="default" w:ascii="Times New Roman" w:hAnsi="Times New Roman" w:eastAsia="宋体" w:cs="Times New Roman"/>
          <w:sz w:val="24"/>
          <w:szCs w:val="24"/>
          <w:highlight w:val="none"/>
        </w:rPr>
      </w:pPr>
      <w:bookmarkStart w:id="21" w:name="_Toc31520"/>
      <w:r>
        <w:rPr>
          <w:rFonts w:hint="default" w:ascii="Times New Roman" w:hAnsi="Times New Roman" w:eastAsia="宋体" w:cs="Times New Roman"/>
          <w:sz w:val="24"/>
          <w:szCs w:val="24"/>
          <w:highlight w:val="none"/>
        </w:rPr>
        <w:t xml:space="preserve">10.4 Public Order </w:t>
      </w:r>
      <w:r>
        <w:rPr>
          <w:rFonts w:hint="eastAsia" w:ascii="Times New Roman" w:hAnsi="Times New Roman" w:eastAsia="宋体" w:cs="Times New Roman"/>
          <w:sz w:val="24"/>
          <w:szCs w:val="24"/>
          <w:highlight w:val="none"/>
          <w:lang w:val="en-US" w:eastAsia="zh-CN"/>
        </w:rPr>
        <w:tab/>
      </w:r>
      <w:bookmarkEnd w:id="21"/>
      <w:r>
        <w:rPr>
          <w:rFonts w:hint="eastAsia" w:ascii="Times New Roman" w:hAnsi="Times New Roman" w:cs="Times New Roman"/>
          <w:sz w:val="24"/>
          <w:szCs w:val="24"/>
          <w:highlight w:val="none"/>
          <w:lang w:val="en-US" w:eastAsia="zh-CN"/>
        </w:rPr>
        <w:t>26</w:t>
      </w:r>
      <w:r>
        <w:rPr>
          <w:rFonts w:hint="default" w:ascii="Times New Roman" w:hAnsi="Times New Roman" w:eastAsia="宋体" w:cs="Times New Roman"/>
          <w:sz w:val="24"/>
          <w:szCs w:val="24"/>
          <w:highlight w:val="none"/>
        </w:rPr>
        <w:t xml:space="preserve"> </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10.5 Fire/Monitoring Management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26</w:t>
      </w:r>
      <w:r>
        <w:rPr>
          <w:rFonts w:hint="default" w:ascii="Times New Roman" w:hAnsi="Times New Roman" w:eastAsia="宋体" w:cs="Times New Roman"/>
          <w:sz w:val="24"/>
          <w:szCs w:val="24"/>
          <w:highlight w:val="none"/>
        </w:rPr>
        <w:t xml:space="preserve"> </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rPr>
        <w:t xml:space="preserve">10.6 Inspection Management of Charging Stations </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27</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Chars="0"/>
        <w:jc w:val="both"/>
        <w:textAlignment w:val="auto"/>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 xml:space="preserve">11  </w:t>
      </w:r>
      <w:r>
        <w:rPr>
          <w:rFonts w:hint="default" w:ascii="Times New Roman" w:hAnsi="Times New Roman" w:cs="Times New Roman"/>
          <w:sz w:val="24"/>
          <w:szCs w:val="24"/>
          <w:highlight w:val="none"/>
        </w:rPr>
        <w:t xml:space="preserve">Electrical Anti-terrorism and Emergency Response </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29</w:t>
      </w:r>
      <w:r>
        <w:rPr>
          <w:rFonts w:hint="default" w:ascii="Times New Roman" w:hAnsi="Times New Roman" w:cs="Times New Roman"/>
          <w:sz w:val="24"/>
          <w:szCs w:val="24"/>
          <w:highlight w:val="none"/>
        </w:rPr>
        <w:t xml:space="preserve"> </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11.1 Normal Anti-terrorism Requirements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29</w:t>
      </w:r>
      <w:r>
        <w:rPr>
          <w:rFonts w:hint="default" w:ascii="Times New Roman" w:hAnsi="Times New Roman" w:eastAsia="宋体" w:cs="Times New Roman"/>
          <w:sz w:val="24"/>
          <w:szCs w:val="24"/>
          <w:highlight w:val="none"/>
        </w:rPr>
        <w:t xml:space="preserve"> </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11.2 Counter-terrorism Emergency Response</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31</w:t>
      </w:r>
      <w:r>
        <w:rPr>
          <w:rFonts w:hint="default" w:ascii="Times New Roman" w:hAnsi="Times New Roman" w:eastAsia="宋体" w:cs="Times New Roman"/>
          <w:sz w:val="24"/>
          <w:szCs w:val="24"/>
          <w:highlight w:val="none"/>
        </w:rPr>
        <w:t xml:space="preserve"> </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rPr>
        <w:t xml:space="preserve">11.3 Daily Service Emergency Response </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32</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Chars="0"/>
        <w:jc w:val="both"/>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 xml:space="preserve">12  </w:t>
      </w:r>
      <w:r>
        <w:rPr>
          <w:rFonts w:hint="default" w:ascii="Times New Roman" w:hAnsi="Times New Roman" w:eastAsia="宋体" w:cs="Times New Roman"/>
          <w:sz w:val="24"/>
          <w:szCs w:val="24"/>
          <w:highlight w:val="none"/>
        </w:rPr>
        <w:t xml:space="preserve">Vehicle Driving and Management Services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34</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Chars="0"/>
        <w:jc w:val="both"/>
        <w:textAlignment w:val="auto"/>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 xml:space="preserve">13  </w:t>
      </w:r>
      <w:r>
        <w:rPr>
          <w:rFonts w:hint="default" w:ascii="Times New Roman" w:hAnsi="Times New Roman" w:eastAsia="宋体" w:cs="Times New Roman"/>
          <w:sz w:val="24"/>
          <w:szCs w:val="24"/>
          <w:highlight w:val="none"/>
        </w:rPr>
        <w:t xml:space="preserve">Environmental Management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35</w:t>
      </w:r>
      <w:r>
        <w:rPr>
          <w:rFonts w:hint="default" w:ascii="Times New Roman" w:hAnsi="Times New Roman" w:eastAsia="宋体" w:cs="Times New Roman"/>
          <w:sz w:val="24"/>
          <w:szCs w:val="24"/>
          <w:highlight w:val="none"/>
        </w:rPr>
        <w:t xml:space="preserve"> </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13.1 Requirements for Working Near Live Equipment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35</w:t>
      </w:r>
      <w:r>
        <w:rPr>
          <w:rFonts w:hint="default" w:ascii="Times New Roman" w:hAnsi="Times New Roman" w:eastAsia="宋体" w:cs="Times New Roman"/>
          <w:sz w:val="24"/>
          <w:szCs w:val="24"/>
          <w:highlight w:val="none"/>
        </w:rPr>
        <w:t xml:space="preserve"> </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13.2 Cleaning Services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35</w:t>
      </w:r>
      <w:r>
        <w:rPr>
          <w:rFonts w:hint="default" w:ascii="Times New Roman" w:hAnsi="Times New Roman" w:eastAsia="宋体" w:cs="Times New Roman"/>
          <w:sz w:val="24"/>
          <w:szCs w:val="24"/>
          <w:highlight w:val="none"/>
        </w:rPr>
        <w:t xml:space="preserve"> </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rPr>
        <w:t xml:space="preserve">13.3 Greening Maintenance </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37</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Chars="0"/>
        <w:jc w:val="both"/>
        <w:textAlignment w:val="auto"/>
        <w:outlineLvl w:val="0"/>
        <w:rPr>
          <w:rFonts w:hint="default" w:ascii="Times New Roman" w:hAnsi="Times New Roman" w:eastAsia="宋体" w:cs="Times New Roman"/>
          <w:sz w:val="24"/>
          <w:szCs w:val="24"/>
          <w:highlight w:val="none"/>
          <w:lang w:val="en-US" w:eastAsia="zh-CN"/>
        </w:rPr>
      </w:pPr>
      <w:bookmarkStart w:id="22" w:name="_Toc21062"/>
      <w:r>
        <w:rPr>
          <w:rFonts w:hint="eastAsia" w:ascii="Times New Roman" w:hAnsi="Times New Roman" w:eastAsia="宋体" w:cs="Times New Roman"/>
          <w:sz w:val="24"/>
          <w:szCs w:val="24"/>
          <w:highlight w:val="none"/>
          <w:lang w:val="en-US" w:eastAsia="zh-CN"/>
        </w:rPr>
        <w:t xml:space="preserve">14  </w:t>
      </w:r>
      <w:r>
        <w:rPr>
          <w:rFonts w:hint="default" w:ascii="Times New Roman" w:hAnsi="Times New Roman" w:eastAsia="宋体" w:cs="Times New Roman"/>
          <w:sz w:val="24"/>
          <w:szCs w:val="24"/>
          <w:highlight w:val="none"/>
        </w:rPr>
        <w:t xml:space="preserve">Canteen Management </w:t>
      </w:r>
      <w:r>
        <w:rPr>
          <w:rFonts w:hint="eastAsia" w:ascii="Times New Roman" w:hAnsi="Times New Roman" w:eastAsia="宋体" w:cs="Times New Roman"/>
          <w:sz w:val="24"/>
          <w:szCs w:val="24"/>
          <w:highlight w:val="none"/>
          <w:lang w:val="en-US" w:eastAsia="zh-CN"/>
        </w:rPr>
        <w:tab/>
      </w:r>
      <w:bookmarkEnd w:id="22"/>
      <w:r>
        <w:rPr>
          <w:rFonts w:hint="eastAsia" w:ascii="Times New Roman" w:hAnsi="Times New Roman" w:cs="Times New Roman"/>
          <w:sz w:val="24"/>
          <w:szCs w:val="24"/>
          <w:highlight w:val="none"/>
          <w:lang w:val="en-US" w:eastAsia="zh-CN"/>
        </w:rPr>
        <w:t>39</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Chars="0"/>
        <w:jc w:val="both"/>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 xml:space="preserve">15  </w:t>
      </w:r>
      <w:r>
        <w:rPr>
          <w:rFonts w:hint="default" w:ascii="Times New Roman" w:hAnsi="Times New Roman" w:eastAsia="宋体" w:cs="Times New Roman"/>
          <w:sz w:val="24"/>
          <w:szCs w:val="24"/>
          <w:highlight w:val="none"/>
        </w:rPr>
        <w:t>Apartment or Guesthouse Services</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40</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Chars="0"/>
        <w:jc w:val="both"/>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 xml:space="preserve">16  </w:t>
      </w:r>
      <w:r>
        <w:rPr>
          <w:rFonts w:hint="default" w:ascii="Times New Roman" w:hAnsi="Times New Roman" w:eastAsia="宋体" w:cs="Times New Roman"/>
          <w:sz w:val="24"/>
          <w:szCs w:val="24"/>
          <w:highlight w:val="none"/>
        </w:rPr>
        <w:t xml:space="preserve">Green Property Management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41</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Chars="0"/>
        <w:jc w:val="both"/>
        <w:textAlignment w:val="auto"/>
        <w:outlineLvl w:val="0"/>
        <w:rPr>
          <w:rFonts w:hint="default" w:ascii="Times New Roman" w:hAnsi="Times New Roman" w:eastAsia="宋体" w:cs="Times New Roman"/>
          <w:sz w:val="24"/>
          <w:szCs w:val="24"/>
          <w:highlight w:val="none"/>
        </w:rPr>
      </w:pPr>
      <w:bookmarkStart w:id="23" w:name="_Toc8555"/>
      <w:r>
        <w:rPr>
          <w:rFonts w:hint="eastAsia" w:ascii="Times New Roman" w:hAnsi="Times New Roman" w:eastAsia="宋体" w:cs="Times New Roman"/>
          <w:sz w:val="24"/>
          <w:szCs w:val="24"/>
          <w:highlight w:val="none"/>
          <w:lang w:val="en-US" w:eastAsia="zh-CN"/>
        </w:rPr>
        <w:t xml:space="preserve">17  </w:t>
      </w:r>
      <w:r>
        <w:rPr>
          <w:rFonts w:hint="default" w:ascii="Times New Roman" w:hAnsi="Times New Roman" w:eastAsia="宋体" w:cs="Times New Roman"/>
          <w:sz w:val="24"/>
          <w:szCs w:val="24"/>
          <w:highlight w:val="none"/>
        </w:rPr>
        <w:t xml:space="preserve">Smart Property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4</w:t>
      </w:r>
      <w:r>
        <w:rPr>
          <w:rFonts w:hint="default" w:ascii="Times New Roman" w:hAnsi="Times New Roman" w:eastAsia="宋体" w:cs="Times New Roman"/>
          <w:sz w:val="24"/>
          <w:szCs w:val="24"/>
          <w:highlight w:val="none"/>
        </w:rPr>
        <w:t>2</w:t>
      </w:r>
      <w:bookmarkEnd w:id="23"/>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jc w:val="both"/>
        <w:textAlignment w:val="auto"/>
        <w:rPr>
          <w:rFonts w:hint="default"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 xml:space="preserve">18  </w:t>
      </w:r>
      <w:r>
        <w:rPr>
          <w:rFonts w:hint="default" w:ascii="Times New Roman" w:hAnsi="Times New Roman" w:eastAsia="宋体" w:cs="Times New Roman"/>
          <w:sz w:val="24"/>
          <w:szCs w:val="24"/>
          <w:highlight w:val="none"/>
        </w:rPr>
        <w:t xml:space="preserve">Evaluation Requirements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43</w:t>
      </w:r>
      <w:r>
        <w:rPr>
          <w:rFonts w:hint="default" w:ascii="Times New Roman" w:hAnsi="Times New Roman" w:eastAsia="宋体" w:cs="Times New Roman"/>
          <w:sz w:val="24"/>
          <w:szCs w:val="24"/>
          <w:highlight w:val="none"/>
        </w:rPr>
        <w:t xml:space="preserve"> </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outlineLvl w:val="1"/>
        <w:rPr>
          <w:rFonts w:hint="default" w:ascii="Times New Roman" w:hAnsi="Times New Roman" w:eastAsia="宋体" w:cs="Times New Roman"/>
          <w:sz w:val="24"/>
          <w:szCs w:val="24"/>
          <w:highlight w:val="none"/>
        </w:rPr>
      </w:pPr>
      <w:bookmarkStart w:id="24" w:name="_Toc31452"/>
      <w:r>
        <w:rPr>
          <w:rFonts w:hint="default" w:ascii="Times New Roman" w:hAnsi="Times New Roman" w:eastAsia="宋体" w:cs="Times New Roman"/>
          <w:sz w:val="24"/>
          <w:szCs w:val="24"/>
          <w:highlight w:val="none"/>
        </w:rPr>
        <w:t xml:space="preserve">18.1 Evaluation Principles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4</w:t>
      </w:r>
      <w:bookmarkEnd w:id="24"/>
      <w:r>
        <w:rPr>
          <w:rFonts w:hint="eastAsia" w:ascii="Times New Roman" w:hAnsi="Times New Roman" w:cs="Times New Roman"/>
          <w:sz w:val="24"/>
          <w:szCs w:val="24"/>
          <w:highlight w:val="none"/>
          <w:lang w:val="en-US" w:eastAsia="zh-CN"/>
        </w:rPr>
        <w:t>3</w:t>
      </w:r>
      <w:r>
        <w:rPr>
          <w:rFonts w:hint="default" w:ascii="Times New Roman" w:hAnsi="Times New Roman" w:eastAsia="宋体" w:cs="Times New Roman"/>
          <w:sz w:val="24"/>
          <w:szCs w:val="24"/>
          <w:highlight w:val="none"/>
        </w:rPr>
        <w:t xml:space="preserve"> </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18.2 Evaluation Subjects and Objects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43</w:t>
      </w:r>
      <w:r>
        <w:rPr>
          <w:rFonts w:hint="default" w:ascii="Times New Roman" w:hAnsi="Times New Roman" w:eastAsia="宋体" w:cs="Times New Roman"/>
          <w:sz w:val="24"/>
          <w:szCs w:val="24"/>
          <w:highlight w:val="none"/>
        </w:rPr>
        <w:t xml:space="preserve"> </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420" w:left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18.3 Evaluation Methods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43</w:t>
      </w:r>
      <w:r>
        <w:rPr>
          <w:rFonts w:hint="default" w:ascii="Times New Roman" w:hAnsi="Times New Roman" w:eastAsia="宋体" w:cs="Times New Roman"/>
          <w:sz w:val="24"/>
          <w:szCs w:val="24"/>
          <w:highlight w:val="none"/>
        </w:rPr>
        <w:t xml:space="preserve"> </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0" w:leftChars="0" w:firstLine="420" w:firstLineChars="175"/>
        <w:jc w:val="both"/>
        <w:textAlignment w:val="auto"/>
        <w:outlineLvl w:val="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 xml:space="preserve">18.4 Evaluation Results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43</w:t>
      </w:r>
      <w:r>
        <w:rPr>
          <w:rFonts w:hint="default" w:ascii="Times New Roman" w:hAnsi="Times New Roman" w:eastAsia="宋体" w:cs="Times New Roman"/>
          <w:sz w:val="24"/>
          <w:szCs w:val="24"/>
          <w:highlight w:val="none"/>
          <w:lang w:val="en-US" w:eastAsia="zh-CN"/>
        </w:rPr>
        <w:t xml:space="preserve"> </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Chars="0"/>
        <w:jc w:val="both"/>
        <w:textAlignment w:val="auto"/>
        <w:outlineLvl w:val="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fldChar w:fldCharType="begin"/>
      </w:r>
      <w:r>
        <w:rPr>
          <w:rFonts w:hint="default" w:ascii="Times New Roman" w:hAnsi="Times New Roman" w:eastAsia="宋体" w:cs="Times New Roman"/>
          <w:sz w:val="24"/>
          <w:szCs w:val="24"/>
          <w:highlight w:val="none"/>
          <w:lang w:val="en-US" w:eastAsia="zh-CN"/>
        </w:rPr>
        <w:instrText xml:space="preserve"> HYPERLINK \l _Toc27170 </w:instrText>
      </w:r>
      <w:r>
        <w:rPr>
          <w:rFonts w:hint="default" w:ascii="Times New Roman" w:hAnsi="Times New Roman" w:eastAsia="宋体" w:cs="Times New Roman"/>
          <w:sz w:val="24"/>
          <w:szCs w:val="24"/>
          <w:highlight w:val="none"/>
          <w:lang w:val="en-US" w:eastAsia="zh-CN"/>
        </w:rPr>
        <w:fldChar w:fldCharType="separate"/>
      </w:r>
      <w:r>
        <w:rPr>
          <w:rFonts w:hint="eastAsia" w:ascii="Times New Roman" w:hAnsi="Times New Roman" w:eastAsia="宋体" w:cs="Times New Roman"/>
          <w:sz w:val="24"/>
          <w:szCs w:val="24"/>
          <w:highlight w:val="none"/>
          <w:lang w:val="en-US" w:eastAsia="zh-CN"/>
        </w:rPr>
        <w:t xml:space="preserve">Explanation of Wording in This Standard </w:t>
      </w:r>
      <w:r>
        <w:rPr>
          <w:rFonts w:hint="eastAsia"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4</w:t>
      </w:r>
      <w:r>
        <w:rPr>
          <w:rFonts w:hint="default" w:ascii="Times New Roman" w:hAnsi="Times New Roman" w:eastAsia="宋体" w:cs="Times New Roman"/>
          <w:sz w:val="24"/>
          <w:szCs w:val="24"/>
          <w:highlight w:val="none"/>
          <w:lang w:val="en-US" w:eastAsia="zh-CN"/>
        </w:rPr>
        <w:fldChar w:fldCharType="end"/>
      </w:r>
      <w:r>
        <w:rPr>
          <w:rFonts w:hint="eastAsia" w:ascii="Times New Roman" w:hAnsi="Times New Roman" w:cs="Times New Roman"/>
          <w:sz w:val="24"/>
          <w:szCs w:val="24"/>
          <w:highlight w:val="none"/>
          <w:lang w:val="en-US" w:eastAsia="zh-CN"/>
        </w:rPr>
        <w:t>4</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Chars="0"/>
        <w:jc w:val="both"/>
        <w:textAlignment w:val="auto"/>
        <w:outlineLvl w:val="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fldChar w:fldCharType="begin"/>
      </w:r>
      <w:r>
        <w:rPr>
          <w:rFonts w:hint="default" w:ascii="Times New Roman" w:hAnsi="Times New Roman" w:eastAsia="宋体" w:cs="Times New Roman"/>
          <w:sz w:val="24"/>
          <w:szCs w:val="24"/>
          <w:highlight w:val="none"/>
          <w:lang w:val="en-US" w:eastAsia="zh-CN"/>
        </w:rPr>
        <w:instrText xml:space="preserve"> HYPERLINK \l _Toc1084 </w:instrText>
      </w:r>
      <w:r>
        <w:rPr>
          <w:rFonts w:hint="default" w:ascii="Times New Roman" w:hAnsi="Times New Roman" w:eastAsia="宋体" w:cs="Times New Roman"/>
          <w:sz w:val="24"/>
          <w:szCs w:val="24"/>
          <w:highlight w:val="none"/>
          <w:lang w:val="en-US" w:eastAsia="zh-CN"/>
        </w:rPr>
        <w:fldChar w:fldCharType="separate"/>
      </w:r>
      <w:r>
        <w:rPr>
          <w:rFonts w:hint="default" w:ascii="Times New Roman" w:hAnsi="Times New Roman" w:eastAsia="宋体" w:cs="Times New Roman"/>
          <w:sz w:val="24"/>
          <w:szCs w:val="24"/>
          <w:highlight w:val="none"/>
          <w:lang w:val="en-US" w:eastAsia="zh-CN"/>
        </w:rPr>
        <w:t>List of Quoted standards</w:t>
      </w:r>
      <w:r>
        <w:rPr>
          <w:rFonts w:hint="default" w:ascii="Times New Roman" w:hAnsi="Times New Roman" w:eastAsia="宋体" w:cs="Times New Roman"/>
          <w:sz w:val="24"/>
          <w:szCs w:val="24"/>
          <w:highlight w:val="none"/>
          <w:lang w:val="en-US" w:eastAsia="zh-CN"/>
        </w:rPr>
        <w:tab/>
      </w:r>
      <w:r>
        <w:rPr>
          <w:rFonts w:hint="eastAsia" w:ascii="Times New Roman" w:hAnsi="Times New Roman" w:cs="Times New Roman"/>
          <w:sz w:val="24"/>
          <w:szCs w:val="24"/>
          <w:highlight w:val="none"/>
          <w:lang w:val="en-US" w:eastAsia="zh-CN"/>
        </w:rPr>
        <w:t>4</w:t>
      </w:r>
      <w:r>
        <w:rPr>
          <w:rFonts w:hint="default" w:ascii="Times New Roman" w:hAnsi="Times New Roman" w:eastAsia="宋体" w:cs="Times New Roman"/>
          <w:sz w:val="24"/>
          <w:szCs w:val="24"/>
          <w:highlight w:val="none"/>
          <w:lang w:val="en-US" w:eastAsia="zh-CN"/>
        </w:rPr>
        <w:fldChar w:fldCharType="end"/>
      </w:r>
      <w:r>
        <w:rPr>
          <w:rFonts w:hint="eastAsia" w:ascii="Times New Roman" w:hAnsi="Times New Roman" w:cs="Times New Roman"/>
          <w:sz w:val="24"/>
          <w:szCs w:val="24"/>
          <w:highlight w:val="none"/>
          <w:lang w:val="en-US" w:eastAsia="zh-CN"/>
        </w:rPr>
        <w:t>5</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0" w:beforeAutospacing="0" w:after="0" w:afterAutospacing="0"/>
        <w:ind w:leftChars="0"/>
        <w:jc w:val="both"/>
        <w:textAlignment w:val="auto"/>
        <w:outlineLvl w:val="0"/>
        <w:rPr>
          <w:rFonts w:hint="default" w:ascii="Times New Roman" w:hAnsi="Times New Roman" w:cs="Times New Roman"/>
          <w:sz w:val="24"/>
          <w:szCs w:val="24"/>
          <w:highlight w:val="none"/>
        </w:rPr>
      </w:pPr>
      <w:r>
        <w:rPr>
          <w:rFonts w:hint="default" w:ascii="Times New Roman" w:hAnsi="Times New Roman" w:eastAsia="宋体" w:cs="Times New Roman"/>
          <w:sz w:val="24"/>
          <w:szCs w:val="24"/>
          <w:highlight w:val="none"/>
          <w:lang w:val="en-US" w:eastAsia="zh-CN"/>
        </w:rPr>
        <w:t>Ap</w:t>
      </w:r>
      <w:r>
        <w:rPr>
          <w:rFonts w:hint="default" w:ascii="Times New Roman" w:hAnsi="Times New Roman" w:cs="Times New Roman"/>
          <w:sz w:val="24"/>
          <w:szCs w:val="24"/>
          <w:highlight w:val="none"/>
        </w:rPr>
        <w:t>pendix A</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 xml:space="preserve">Central Air Conditioning System Maintenance </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46</w:t>
      </w:r>
      <w:r>
        <w:rPr>
          <w:rFonts w:hint="default" w:ascii="Times New Roman" w:hAnsi="Times New Roman" w:cs="Times New Roman"/>
          <w:sz w:val="24"/>
          <w:szCs w:val="24"/>
          <w:highlight w:val="none"/>
        </w:rPr>
        <w:t xml:space="preserve"> </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0" w:leftChars="0" w:firstLine="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Appendix B</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 xml:space="preserve">Water Supply and Drainage System Maintenance </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48</w:t>
      </w:r>
      <w:r>
        <w:rPr>
          <w:rFonts w:hint="default" w:ascii="Times New Roman" w:hAnsi="Times New Roman" w:cs="Times New Roman"/>
          <w:sz w:val="24"/>
          <w:szCs w:val="24"/>
          <w:highlight w:val="none"/>
        </w:rPr>
        <w:t xml:space="preserve"> </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0" w:leftChars="0" w:firstLine="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Appendix C</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Inspection and Maintenance of Security Technology and Multimedia Systems</w:t>
      </w:r>
      <w:r>
        <w:rPr>
          <w:rFonts w:hint="eastAsia" w:ascii="Times New Roman" w:hAnsi="Times New Roman" w:cs="Times New Roman"/>
          <w:sz w:val="24"/>
          <w:szCs w:val="24"/>
          <w:highlight w:val="none"/>
          <w:lang w:val="en-US" w:eastAsia="zh-CN"/>
        </w:rPr>
        <w:t>49</w:t>
      </w:r>
      <w:r>
        <w:rPr>
          <w:rFonts w:hint="eastAsia" w:ascii="Times New Roman" w:hAnsi="Times New Roman" w:cs="Times New Roman"/>
          <w:sz w:val="24"/>
          <w:szCs w:val="24"/>
          <w:highlight w:val="none"/>
          <w:lang w:val="en-US" w:eastAsia="zh-CN"/>
        </w:rPr>
        <w:tab/>
      </w:r>
      <w:r>
        <w:rPr>
          <w:rFonts w:hint="default" w:ascii="Times New Roman" w:hAnsi="Times New Roman" w:cs="Times New Roman"/>
          <w:sz w:val="24"/>
          <w:szCs w:val="24"/>
          <w:highlight w:val="none"/>
        </w:rPr>
        <w:t xml:space="preserve"> </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0" w:leftChars="0" w:firstLine="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Appendix D</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 xml:space="preserve"> Civil Air Defense Configuration Table for Important Areas (Regions) </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51</w:t>
      </w:r>
      <w:r>
        <w:rPr>
          <w:rFonts w:hint="default" w:ascii="Times New Roman" w:hAnsi="Times New Roman" w:cs="Times New Roman"/>
          <w:sz w:val="24"/>
          <w:szCs w:val="24"/>
          <w:highlight w:val="none"/>
        </w:rPr>
        <w:t xml:space="preserve"> </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0" w:leftChars="0" w:firstLine="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Appendix E</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 xml:space="preserve"> Classification Table of Important Areas </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52</w:t>
      </w:r>
      <w:r>
        <w:rPr>
          <w:rFonts w:hint="default" w:ascii="Times New Roman" w:hAnsi="Times New Roman" w:cs="Times New Roman"/>
          <w:sz w:val="24"/>
          <w:szCs w:val="24"/>
          <w:highlight w:val="none"/>
        </w:rPr>
        <w:t xml:space="preserve"> </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0" w:leftChars="0" w:firstLine="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Appendix F</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 xml:space="preserve">Standard for Cleaning Services in Public Areas Inside Buildings </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53</w:t>
      </w:r>
      <w:r>
        <w:rPr>
          <w:rFonts w:hint="default" w:ascii="Times New Roman" w:hAnsi="Times New Roman" w:cs="Times New Roman"/>
          <w:sz w:val="24"/>
          <w:szCs w:val="24"/>
          <w:highlight w:val="none"/>
        </w:rPr>
        <w:t xml:space="preserve"> </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0" w:leftChars="0" w:firstLine="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Appendix G</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 xml:space="preserve">Standard for Cleaning Services in Public Areas Outside Buildings </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55</w:t>
      </w:r>
      <w:r>
        <w:rPr>
          <w:rFonts w:hint="default" w:ascii="Times New Roman" w:hAnsi="Times New Roman" w:cs="Times New Roman"/>
          <w:sz w:val="24"/>
          <w:szCs w:val="24"/>
          <w:highlight w:val="none"/>
        </w:rPr>
        <w:t xml:space="preserve">  </w:t>
      </w:r>
    </w:p>
    <w:p>
      <w:pPr>
        <w:keepNext w:val="0"/>
        <w:keepLines w:val="0"/>
        <w:pageBreakBefore w:val="0"/>
        <w:widowControl/>
        <w:numPr>
          <w:ilvl w:val="0"/>
          <w:numId w:val="0"/>
        </w:numPr>
        <w:suppressLineNumbers w:val="0"/>
        <w:tabs>
          <w:tab w:val="left" w:leader="dot" w:pos="8820"/>
        </w:tabs>
        <w:kinsoku/>
        <w:wordWrap/>
        <w:overflowPunct/>
        <w:topLinePunct w:val="0"/>
        <w:autoSpaceDE/>
        <w:autoSpaceDN/>
        <w:bidi w:val="0"/>
        <w:adjustRightInd/>
        <w:snapToGrid/>
        <w:spacing w:beforeAutospacing="0" w:afterAutospacing="0"/>
        <w:ind w:left="0" w:leftChars="0" w:firstLine="0"/>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rPr>
        <w:t xml:space="preserve">Explanation of provisions </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56</w:t>
      </w:r>
    </w:p>
    <w:p>
      <w:pPr>
        <w:pStyle w:val="62"/>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0" w:firstLine="0"/>
        <w:jc w:val="center"/>
        <w:textAlignment w:val="auto"/>
        <w:outlineLvl w:val="9"/>
        <w:rPr>
          <w:rFonts w:hint="eastAsia"/>
          <w:color w:val="auto"/>
          <w:sz w:val="32"/>
          <w:szCs w:val="52"/>
          <w:highlight w:val="none"/>
          <w:lang w:eastAsia="zh-CN"/>
        </w:rPr>
      </w:pPr>
    </w:p>
    <w:p>
      <w:pPr>
        <w:pStyle w:val="62"/>
        <w:numPr>
          <w:ilvl w:val="0"/>
          <w:numId w:val="0"/>
        </w:numPr>
        <w:spacing w:before="850" w:beforeLines="0" w:after="680" w:afterLines="0"/>
        <w:jc w:val="center"/>
        <w:outlineLvl w:val="9"/>
        <w:rPr>
          <w:rFonts w:hint="eastAsia"/>
          <w:color w:val="auto"/>
          <w:sz w:val="32"/>
          <w:szCs w:val="52"/>
          <w:highlight w:val="none"/>
          <w:lang w:eastAsia="zh-CN"/>
        </w:rPr>
      </w:pPr>
    </w:p>
    <w:p>
      <w:pPr>
        <w:pStyle w:val="62"/>
        <w:numPr>
          <w:ilvl w:val="0"/>
          <w:numId w:val="0"/>
        </w:numPr>
        <w:spacing w:before="850" w:beforeLines="0" w:after="680" w:afterLines="0"/>
        <w:jc w:val="center"/>
        <w:outlineLvl w:val="9"/>
        <w:rPr>
          <w:rFonts w:hint="eastAsia"/>
          <w:color w:val="auto"/>
          <w:sz w:val="32"/>
          <w:szCs w:val="52"/>
          <w:highlight w:val="none"/>
          <w:lang w:eastAsia="zh-CN"/>
        </w:rPr>
      </w:pPr>
    </w:p>
    <w:p>
      <w:pPr>
        <w:pStyle w:val="62"/>
        <w:numPr>
          <w:ilvl w:val="0"/>
          <w:numId w:val="0"/>
        </w:numPr>
        <w:spacing w:before="850" w:beforeLines="0" w:after="680" w:afterLines="0"/>
        <w:jc w:val="center"/>
        <w:outlineLvl w:val="9"/>
        <w:rPr>
          <w:rFonts w:hint="eastAsia"/>
          <w:color w:val="auto"/>
          <w:sz w:val="32"/>
          <w:szCs w:val="52"/>
          <w:highlight w:val="none"/>
          <w:lang w:eastAsia="zh-CN"/>
        </w:rPr>
      </w:pPr>
    </w:p>
    <w:p>
      <w:pPr>
        <w:pStyle w:val="59"/>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hAnsi="宋体" w:cs="Arial"/>
          <w:b/>
          <w:bCs/>
          <w:color w:val="auto"/>
          <w:sz w:val="30"/>
          <w:szCs w:val="30"/>
          <w:highlight w:val="none"/>
          <w:lang w:val="en-US" w:eastAsia="zh-CN"/>
        </w:rPr>
        <w:sectPr>
          <w:footerReference r:id="rId9" w:type="default"/>
          <w:footerReference r:id="rId10" w:type="even"/>
          <w:pgSz w:w="11906" w:h="16838"/>
          <w:pgMar w:top="1417" w:right="1134" w:bottom="1134" w:left="1418" w:header="57" w:footer="737" w:gutter="0"/>
          <w:pgBorders>
            <w:top w:val="none" w:sz="0" w:space="0"/>
            <w:left w:val="none" w:sz="0" w:space="0"/>
            <w:bottom w:val="none" w:sz="0" w:space="0"/>
            <w:right w:val="none" w:sz="0" w:space="0"/>
          </w:pgBorders>
          <w:pgNumType w:fmt="decimal" w:start="1"/>
          <w:cols w:space="720" w:num="1"/>
          <w:formProt w:val="0"/>
          <w:docGrid w:type="linesAndChars" w:linePitch="312" w:charSpace="0"/>
        </w:sectPr>
      </w:pPr>
    </w:p>
    <w:p>
      <w:pPr>
        <w:pStyle w:val="59"/>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0"/>
        <w:rPr>
          <w:rFonts w:hint="eastAsia" w:hAnsi="宋体" w:cs="Arial"/>
          <w:b/>
          <w:bCs/>
          <w:color w:val="auto"/>
          <w:sz w:val="30"/>
          <w:szCs w:val="30"/>
          <w:highlight w:val="none"/>
          <w:lang w:val="en-US" w:eastAsia="zh-CN"/>
        </w:rPr>
      </w:pPr>
      <w:bookmarkStart w:id="25" w:name="_Toc15608"/>
      <w:r>
        <w:rPr>
          <w:rFonts w:hint="default" w:ascii="Times New Roman" w:hAnsi="Times New Roman" w:cs="Times New Roman"/>
          <w:b/>
          <w:bCs/>
          <w:color w:val="auto"/>
          <w:sz w:val="30"/>
          <w:szCs w:val="30"/>
          <w:highlight w:val="none"/>
          <w:lang w:val="en-US" w:eastAsia="zh-CN"/>
        </w:rPr>
        <w:t xml:space="preserve">1 </w:t>
      </w:r>
      <w:r>
        <w:rPr>
          <w:rFonts w:hint="eastAsia" w:hAnsi="宋体" w:cs="Arial"/>
          <w:b w:val="0"/>
          <w:bCs w:val="0"/>
          <w:color w:val="auto"/>
          <w:sz w:val="30"/>
          <w:szCs w:val="30"/>
          <w:highlight w:val="none"/>
          <w:lang w:val="en-US" w:eastAsia="zh-CN"/>
        </w:rPr>
        <w:t>总  则</w:t>
      </w:r>
      <w:bookmarkEnd w:id="25"/>
    </w:p>
    <w:p>
      <w:pPr>
        <w:pStyle w:val="59"/>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hAnsi="宋体" w:cs="Arial"/>
          <w:b/>
          <w:bCs/>
          <w:color w:val="auto"/>
          <w:sz w:val="30"/>
          <w:szCs w:val="30"/>
          <w:highlight w:val="none"/>
          <w:lang w:val="en-US" w:eastAsia="zh-CN"/>
        </w:rPr>
      </w:pPr>
    </w:p>
    <w:p>
      <w:pPr>
        <w:pStyle w:val="129"/>
        <w:spacing w:before="156" w:after="156"/>
        <w:rPr>
          <w:rFonts w:hint="eastAsia" w:eastAsia="宋体" w:cs="Times New Roman"/>
          <w:sz w:val="24"/>
          <w:szCs w:val="24"/>
          <w:highlight w:val="none"/>
        </w:rPr>
      </w:pPr>
      <w:r>
        <w:rPr>
          <w:rFonts w:hint="eastAsia" w:eastAsia="宋体" w:cs="Times New Roman"/>
          <w:sz w:val="24"/>
          <w:szCs w:val="24"/>
          <w:highlight w:val="none"/>
        </w:rPr>
        <w:t>为规范电力物业服务规范化，完善电力物业服务标准体系，助力电力行业实现双碳目标，制定本规程。</w:t>
      </w:r>
    </w:p>
    <w:p>
      <w:pPr>
        <w:pStyle w:val="129"/>
        <w:spacing w:before="156" w:after="156"/>
        <w:rPr>
          <w:rFonts w:hint="eastAsia" w:eastAsia="宋体" w:cs="Times New Roman"/>
          <w:sz w:val="24"/>
          <w:szCs w:val="24"/>
          <w:highlight w:val="none"/>
        </w:rPr>
      </w:pPr>
      <w:r>
        <w:rPr>
          <w:rFonts w:hint="eastAsia" w:eastAsia="宋体" w:cs="Times New Roman"/>
          <w:sz w:val="24"/>
          <w:szCs w:val="24"/>
          <w:highlight w:val="none"/>
        </w:rPr>
        <w:t>本</w:t>
      </w:r>
      <w:r>
        <w:rPr>
          <w:rFonts w:hint="eastAsia" w:eastAsia="宋体" w:cs="Times New Roman"/>
          <w:sz w:val="24"/>
          <w:szCs w:val="24"/>
          <w:highlight w:val="none"/>
          <w:lang w:val="en-US" w:eastAsia="zh-CN"/>
        </w:rPr>
        <w:t>文件</w:t>
      </w:r>
      <w:r>
        <w:rPr>
          <w:rFonts w:hint="eastAsia" w:eastAsia="宋体" w:cs="Times New Roman"/>
          <w:sz w:val="24"/>
          <w:szCs w:val="24"/>
          <w:highlight w:val="none"/>
        </w:rPr>
        <w:t>规定了</w:t>
      </w:r>
      <w:r>
        <w:rPr>
          <w:rFonts w:hint="eastAsia" w:eastAsia="宋体" w:cs="Times New Roman"/>
          <w:sz w:val="24"/>
          <w:szCs w:val="24"/>
          <w:highlight w:val="none"/>
          <w:lang w:eastAsia="zh-CN"/>
        </w:rPr>
        <w:t>电力工业物业管理服</w:t>
      </w:r>
      <w:r>
        <w:rPr>
          <w:rFonts w:hint="eastAsia" w:eastAsia="宋体" w:cs="Times New Roman"/>
          <w:sz w:val="24"/>
          <w:szCs w:val="24"/>
          <w:highlight w:val="none"/>
          <w:lang w:val="en-US" w:eastAsia="zh-CN"/>
        </w:rPr>
        <w:t>务</w:t>
      </w:r>
      <w:r>
        <w:rPr>
          <w:rFonts w:hint="eastAsia" w:eastAsia="宋体" w:cs="Times New Roman"/>
          <w:sz w:val="24"/>
          <w:szCs w:val="24"/>
          <w:highlight w:val="none"/>
        </w:rPr>
        <w:t>的术语和定义、</w:t>
      </w:r>
      <w:r>
        <w:rPr>
          <w:rFonts w:hint="eastAsia" w:eastAsia="宋体" w:cs="Times New Roman"/>
          <w:sz w:val="24"/>
          <w:szCs w:val="24"/>
          <w:highlight w:val="none"/>
          <w:lang w:val="en-US" w:eastAsia="zh-CN"/>
        </w:rPr>
        <w:t>管理服务场所分区分类</w:t>
      </w:r>
      <w:r>
        <w:rPr>
          <w:rFonts w:hint="eastAsia" w:eastAsia="宋体" w:cs="Times New Roman"/>
          <w:sz w:val="24"/>
          <w:szCs w:val="24"/>
          <w:highlight w:val="none"/>
        </w:rPr>
        <w:t>、</w:t>
      </w:r>
      <w:r>
        <w:rPr>
          <w:rFonts w:hint="default" w:eastAsia="宋体" w:cs="Times New Roman"/>
          <w:sz w:val="24"/>
          <w:szCs w:val="24"/>
          <w:highlight w:val="none"/>
        </w:rPr>
        <w:t>基本要求</w:t>
      </w:r>
      <w:r>
        <w:rPr>
          <w:rFonts w:hint="eastAsia" w:eastAsia="宋体" w:cs="Times New Roman"/>
          <w:sz w:val="24"/>
          <w:szCs w:val="24"/>
          <w:highlight w:val="none"/>
          <w:lang w:eastAsia="zh-CN"/>
        </w:rPr>
        <w:t>、电力生产场所作业安全管理要求、承接查验、综合服务、建（构）筑物巡查维护、设施设备运行服务、安全管理、电力防恐与应急、车辆驾驶服务、环境管理、食堂管理、公寓或招待所服务、绿色物业管理</w:t>
      </w:r>
      <w:r>
        <w:rPr>
          <w:rFonts w:hint="eastAsia" w:cs="Times New Roman"/>
          <w:sz w:val="24"/>
          <w:szCs w:val="24"/>
          <w:highlight w:val="none"/>
          <w:lang w:val="en-US" w:eastAsia="zh-CN"/>
        </w:rPr>
        <w:t>、</w:t>
      </w:r>
      <w:r>
        <w:rPr>
          <w:rFonts w:hint="eastAsia" w:eastAsia="宋体" w:cs="Times New Roman"/>
          <w:sz w:val="24"/>
          <w:szCs w:val="24"/>
          <w:highlight w:val="none"/>
          <w:lang w:eastAsia="zh-CN"/>
        </w:rPr>
        <w:t>智慧物业</w:t>
      </w:r>
      <w:r>
        <w:rPr>
          <w:rFonts w:hint="eastAsia" w:eastAsia="宋体" w:cs="Times New Roman"/>
          <w:sz w:val="24"/>
          <w:szCs w:val="24"/>
          <w:highlight w:val="none"/>
          <w:lang w:val="en-US" w:eastAsia="zh-CN"/>
        </w:rPr>
        <w:t>和评价等要求</w:t>
      </w:r>
      <w:r>
        <w:rPr>
          <w:rFonts w:hint="eastAsia" w:eastAsia="宋体" w:cs="Times New Roman"/>
          <w:sz w:val="24"/>
          <w:szCs w:val="24"/>
          <w:highlight w:val="none"/>
        </w:rPr>
        <w:t>。</w:t>
      </w:r>
    </w:p>
    <w:p>
      <w:pPr>
        <w:pStyle w:val="129"/>
        <w:spacing w:before="156" w:after="156"/>
        <w:rPr>
          <w:rFonts w:hint="eastAsia" w:eastAsia="宋体" w:cs="Times New Roman"/>
          <w:sz w:val="24"/>
          <w:szCs w:val="24"/>
          <w:highlight w:val="none"/>
        </w:rPr>
      </w:pPr>
      <w:r>
        <w:rPr>
          <w:rFonts w:hint="eastAsia" w:eastAsia="宋体" w:cs="Times New Roman"/>
          <w:sz w:val="24"/>
          <w:szCs w:val="24"/>
          <w:highlight w:val="none"/>
          <w:lang w:eastAsia="zh-CN"/>
        </w:rPr>
        <w:t>电力工业物业管理服</w:t>
      </w:r>
      <w:r>
        <w:rPr>
          <w:rFonts w:hint="eastAsia" w:eastAsia="宋体" w:cs="Times New Roman"/>
          <w:sz w:val="24"/>
          <w:szCs w:val="24"/>
          <w:highlight w:val="none"/>
          <w:lang w:val="en-US" w:eastAsia="zh-CN"/>
        </w:rPr>
        <w:t>务的管理，</w:t>
      </w:r>
      <w:r>
        <w:rPr>
          <w:rFonts w:hint="eastAsia" w:eastAsia="宋体" w:cs="Times New Roman"/>
          <w:sz w:val="24"/>
          <w:szCs w:val="24"/>
          <w:highlight w:val="none"/>
        </w:rPr>
        <w:t>除应执行本规程外，应符合国家、行业及广东省现行有关标准的规定。</w:t>
      </w:r>
    </w:p>
    <w:p>
      <w:pPr>
        <w:pStyle w:val="129"/>
        <w:widowControl w:val="0"/>
        <w:numPr>
          <w:ilvl w:val="2"/>
          <w:numId w:val="0"/>
        </w:numPr>
        <w:spacing w:before="156" w:beforeLines="50" w:after="156" w:afterLines="50" w:line="360" w:lineRule="auto"/>
        <w:jc w:val="both"/>
        <w:rPr>
          <w:rFonts w:hint="eastAsia" w:eastAsia="宋体" w:cs="Times New Roman"/>
          <w:highlight w:val="none"/>
        </w:rPr>
      </w:pPr>
    </w:p>
    <w:p>
      <w:pPr>
        <w:pStyle w:val="129"/>
        <w:widowControl w:val="0"/>
        <w:numPr>
          <w:ilvl w:val="2"/>
          <w:numId w:val="0"/>
        </w:numPr>
        <w:spacing w:before="156" w:beforeLines="50" w:after="156" w:afterLines="50" w:line="360" w:lineRule="auto"/>
        <w:jc w:val="both"/>
        <w:rPr>
          <w:rFonts w:hint="eastAsia" w:eastAsia="宋体" w:cs="Times New Roman"/>
          <w:highlight w:val="none"/>
        </w:rPr>
      </w:pPr>
    </w:p>
    <w:p>
      <w:pPr>
        <w:pStyle w:val="129"/>
        <w:widowControl w:val="0"/>
        <w:numPr>
          <w:ilvl w:val="2"/>
          <w:numId w:val="0"/>
        </w:numPr>
        <w:spacing w:before="156" w:beforeLines="50" w:after="156" w:afterLines="50" w:line="360" w:lineRule="auto"/>
        <w:jc w:val="both"/>
        <w:rPr>
          <w:rFonts w:hint="eastAsia" w:eastAsia="宋体" w:cs="Times New Roman"/>
          <w:highlight w:val="none"/>
        </w:rPr>
      </w:pPr>
    </w:p>
    <w:p>
      <w:pPr>
        <w:pStyle w:val="129"/>
        <w:widowControl w:val="0"/>
        <w:numPr>
          <w:ilvl w:val="2"/>
          <w:numId w:val="0"/>
        </w:numPr>
        <w:spacing w:before="156" w:beforeLines="50" w:after="156" w:afterLines="50" w:line="360" w:lineRule="auto"/>
        <w:jc w:val="both"/>
        <w:rPr>
          <w:rFonts w:hint="eastAsia" w:eastAsia="宋体" w:cs="Times New Roman"/>
          <w:highlight w:val="none"/>
        </w:rPr>
      </w:pPr>
    </w:p>
    <w:p>
      <w:pPr>
        <w:pStyle w:val="129"/>
        <w:widowControl w:val="0"/>
        <w:numPr>
          <w:ilvl w:val="2"/>
          <w:numId w:val="0"/>
        </w:numPr>
        <w:spacing w:before="156" w:beforeLines="50" w:after="156" w:afterLines="50" w:line="360" w:lineRule="auto"/>
        <w:jc w:val="both"/>
        <w:rPr>
          <w:rFonts w:hint="eastAsia" w:eastAsia="宋体" w:cs="Times New Roman"/>
          <w:highlight w:val="none"/>
        </w:rPr>
      </w:pPr>
    </w:p>
    <w:p>
      <w:pPr>
        <w:pStyle w:val="129"/>
        <w:widowControl w:val="0"/>
        <w:numPr>
          <w:ilvl w:val="2"/>
          <w:numId w:val="0"/>
        </w:numPr>
        <w:spacing w:before="156" w:beforeLines="50" w:after="156" w:afterLines="50" w:line="360" w:lineRule="auto"/>
        <w:jc w:val="both"/>
        <w:rPr>
          <w:rFonts w:hint="eastAsia" w:eastAsia="宋体" w:cs="Times New Roman"/>
          <w:highlight w:val="none"/>
        </w:rPr>
      </w:pPr>
    </w:p>
    <w:p>
      <w:pPr>
        <w:pStyle w:val="129"/>
        <w:widowControl w:val="0"/>
        <w:numPr>
          <w:ilvl w:val="2"/>
          <w:numId w:val="0"/>
        </w:numPr>
        <w:spacing w:before="156" w:beforeLines="50" w:after="156" w:afterLines="50" w:line="360" w:lineRule="auto"/>
        <w:jc w:val="both"/>
        <w:rPr>
          <w:rFonts w:hint="eastAsia" w:eastAsia="宋体" w:cs="Times New Roman"/>
          <w:highlight w:val="none"/>
        </w:rPr>
      </w:pPr>
    </w:p>
    <w:p>
      <w:pPr>
        <w:pStyle w:val="129"/>
        <w:widowControl w:val="0"/>
        <w:numPr>
          <w:ilvl w:val="2"/>
          <w:numId w:val="0"/>
        </w:numPr>
        <w:spacing w:before="156" w:beforeLines="50" w:after="156" w:afterLines="50" w:line="360" w:lineRule="auto"/>
        <w:jc w:val="both"/>
        <w:rPr>
          <w:rFonts w:hint="eastAsia" w:eastAsia="宋体" w:cs="Times New Roman"/>
          <w:highlight w:val="none"/>
        </w:rPr>
      </w:pPr>
    </w:p>
    <w:p>
      <w:pPr>
        <w:pStyle w:val="129"/>
        <w:widowControl w:val="0"/>
        <w:numPr>
          <w:ilvl w:val="2"/>
          <w:numId w:val="0"/>
        </w:numPr>
        <w:spacing w:before="156" w:beforeLines="50" w:after="156" w:afterLines="50" w:line="360" w:lineRule="auto"/>
        <w:jc w:val="both"/>
        <w:rPr>
          <w:rFonts w:hint="eastAsia" w:eastAsia="宋体" w:cs="Times New Roman"/>
          <w:highlight w:val="none"/>
        </w:rPr>
      </w:pPr>
    </w:p>
    <w:p>
      <w:pPr>
        <w:pStyle w:val="129"/>
        <w:widowControl w:val="0"/>
        <w:numPr>
          <w:ilvl w:val="2"/>
          <w:numId w:val="0"/>
        </w:numPr>
        <w:spacing w:before="156" w:beforeLines="50" w:after="156" w:afterLines="50" w:line="360" w:lineRule="auto"/>
        <w:jc w:val="both"/>
        <w:rPr>
          <w:rFonts w:hint="eastAsia" w:eastAsia="宋体" w:cs="Times New Roman"/>
          <w:highlight w:val="none"/>
        </w:rPr>
      </w:pPr>
    </w:p>
    <w:p>
      <w:pPr>
        <w:pStyle w:val="129"/>
        <w:widowControl w:val="0"/>
        <w:numPr>
          <w:ilvl w:val="2"/>
          <w:numId w:val="0"/>
        </w:numPr>
        <w:spacing w:before="156" w:beforeLines="50" w:after="156" w:afterLines="50" w:line="360" w:lineRule="auto"/>
        <w:jc w:val="both"/>
        <w:rPr>
          <w:rFonts w:hint="eastAsia" w:eastAsia="宋体" w:cs="Times New Roman"/>
          <w:highlight w:val="none"/>
        </w:rPr>
      </w:pPr>
    </w:p>
    <w:p>
      <w:pPr>
        <w:pStyle w:val="129"/>
        <w:widowControl w:val="0"/>
        <w:numPr>
          <w:ilvl w:val="2"/>
          <w:numId w:val="0"/>
        </w:numPr>
        <w:spacing w:before="156" w:beforeLines="50" w:after="156" w:afterLines="50" w:line="360" w:lineRule="auto"/>
        <w:jc w:val="both"/>
        <w:rPr>
          <w:rFonts w:hint="eastAsia" w:eastAsia="宋体" w:cs="Times New Roman"/>
          <w:highlight w:val="none"/>
        </w:rPr>
      </w:pPr>
    </w:p>
    <w:p>
      <w:pPr>
        <w:pStyle w:val="129"/>
        <w:widowControl w:val="0"/>
        <w:numPr>
          <w:ilvl w:val="2"/>
          <w:numId w:val="0"/>
        </w:numPr>
        <w:spacing w:before="156" w:beforeLines="50" w:after="156" w:afterLines="50" w:line="360" w:lineRule="auto"/>
        <w:jc w:val="both"/>
        <w:rPr>
          <w:rFonts w:hint="eastAsia" w:eastAsia="宋体" w:cs="Times New Roman"/>
          <w:highlight w:val="none"/>
        </w:rPr>
      </w:pPr>
    </w:p>
    <w:p>
      <w:pPr>
        <w:pStyle w:val="62"/>
        <w:numPr>
          <w:ilvl w:val="0"/>
          <w:numId w:val="0"/>
        </w:numPr>
        <w:spacing w:before="312" w:beforeLines="100" w:after="312" w:afterLines="100"/>
        <w:jc w:val="center"/>
        <w:outlineLvl w:val="0"/>
        <w:rPr>
          <w:rFonts w:hint="eastAsia" w:ascii="宋体" w:hAnsi="宋体" w:eastAsia="宋体" w:cs="宋体"/>
          <w:b/>
          <w:bCs/>
          <w:color w:val="auto"/>
          <w:sz w:val="30"/>
          <w:szCs w:val="30"/>
          <w:highlight w:val="none"/>
        </w:rPr>
      </w:pPr>
      <w:bookmarkStart w:id="26" w:name="_Toc17928"/>
      <w:r>
        <w:rPr>
          <w:rFonts w:hint="eastAsia" w:ascii="宋体" w:hAnsi="宋体" w:eastAsia="宋体" w:cs="宋体"/>
          <w:b/>
          <w:bCs/>
          <w:color w:val="auto"/>
          <w:sz w:val="30"/>
          <w:szCs w:val="30"/>
          <w:highlight w:val="none"/>
          <w:lang w:val="en-US" w:eastAsia="zh-CN"/>
        </w:rPr>
        <w:t xml:space="preserve">2 </w:t>
      </w:r>
      <w:r>
        <w:rPr>
          <w:rFonts w:hint="eastAsia" w:ascii="宋体" w:hAnsi="宋体" w:eastAsia="宋体" w:cs="宋体"/>
          <w:b w:val="0"/>
          <w:bCs w:val="0"/>
          <w:color w:val="auto"/>
          <w:sz w:val="30"/>
          <w:szCs w:val="30"/>
          <w:highlight w:val="none"/>
        </w:rPr>
        <w:t>术</w:t>
      </w:r>
      <w:r>
        <w:rPr>
          <w:rFonts w:hint="eastAsia" w:ascii="宋体" w:hAnsi="宋体" w:eastAsia="宋体" w:cs="宋体"/>
          <w:b w:val="0"/>
          <w:bCs w:val="0"/>
          <w:color w:val="auto"/>
          <w:sz w:val="30"/>
          <w:szCs w:val="30"/>
          <w:highlight w:val="none"/>
          <w:lang w:val="en-US" w:eastAsia="zh-CN"/>
        </w:rPr>
        <w:t xml:space="preserve">  </w:t>
      </w:r>
      <w:r>
        <w:rPr>
          <w:rFonts w:hint="eastAsia" w:ascii="宋体" w:hAnsi="宋体" w:eastAsia="宋体" w:cs="宋体"/>
          <w:b w:val="0"/>
          <w:bCs w:val="0"/>
          <w:color w:val="auto"/>
          <w:sz w:val="30"/>
          <w:szCs w:val="30"/>
          <w:highlight w:val="none"/>
        </w:rPr>
        <w:t>语</w:t>
      </w:r>
      <w:bookmarkEnd w:id="26"/>
    </w:p>
    <w:p>
      <w:pPr>
        <w:pStyle w:val="59"/>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firstLine="0" w:firstLineChars="0"/>
        <w:textAlignment w:val="auto"/>
        <w:outlineLvl w:val="1"/>
        <w:rPr>
          <w:rFonts w:hint="eastAsia" w:ascii="宋体" w:hAnsi="宋体" w:eastAsia="宋体" w:cs="宋体"/>
          <w:color w:val="auto"/>
          <w:sz w:val="24"/>
          <w:szCs w:val="24"/>
          <w:highlight w:val="none"/>
          <w:lang w:eastAsia="zh-CN"/>
        </w:rPr>
      </w:pPr>
      <w:bookmarkStart w:id="27" w:name="_Toc19614"/>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val="en-US" w:eastAsia="zh-CN"/>
        </w:rPr>
        <w:t>0.</w:t>
      </w:r>
      <w:r>
        <w:rPr>
          <w:rFonts w:hint="default" w:ascii="Times New Roman" w:hAnsi="Times New Roman" w:eastAsia="宋体" w:cs="Times New Roman"/>
          <w:b/>
          <w:bCs/>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 xml:space="preserve">电力调度大楼 </w:t>
      </w:r>
      <w:r>
        <w:rPr>
          <w:rFonts w:hint="eastAsia" w:ascii="宋体" w:hAnsi="宋体" w:eastAsia="宋体" w:cs="宋体"/>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eastAsia="zh-CN"/>
        </w:rPr>
        <w:t>power dispatch building</w:t>
      </w:r>
      <w:bookmarkEnd w:id="27"/>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电力系统信息处理、监视和控制中心机构的场所。</w:t>
      </w:r>
    </w:p>
    <w:p>
      <w:pPr>
        <w:pStyle w:val="59"/>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firstLine="0" w:firstLineChars="0"/>
        <w:textAlignment w:val="auto"/>
        <w:rPr>
          <w:rFonts w:hint="eastAsia" w:ascii="宋体" w:hAnsi="宋体" w:eastAsia="宋体" w:cs="宋体"/>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 xml:space="preserve">2.0.2  </w:t>
      </w:r>
      <w:r>
        <w:rPr>
          <w:rFonts w:hint="eastAsia" w:ascii="宋体" w:hAnsi="宋体" w:eastAsia="宋体" w:cs="宋体"/>
          <w:color w:val="auto"/>
          <w:sz w:val="24"/>
          <w:szCs w:val="24"/>
          <w:highlight w:val="none"/>
        </w:rPr>
        <w:t>发电厂</w:t>
      </w:r>
      <w:r>
        <w:rPr>
          <w:rFonts w:hint="eastAsia" w:ascii="宋体" w:hAnsi="宋体" w:eastAsia="宋体" w:cs="宋体"/>
          <w:color w:val="auto"/>
          <w:sz w:val="24"/>
          <w:szCs w:val="24"/>
          <w:highlight w:val="none"/>
          <w:lang w:val="en-US" w:eastAsia="zh-CN"/>
        </w:rPr>
        <w:t xml:space="preserve">  </w:t>
      </w:r>
      <w:r>
        <w:rPr>
          <w:rFonts w:hint="eastAsia" w:ascii="Times New Roman" w:hAnsi="Times New Roman" w:eastAsia="宋体" w:cs="Times New Roman"/>
          <w:color w:val="auto"/>
          <w:sz w:val="24"/>
          <w:szCs w:val="24"/>
          <w:highlight w:val="none"/>
          <w:lang w:eastAsia="zh-CN"/>
        </w:rPr>
        <w:t>power plant</w:t>
      </w:r>
      <w:r>
        <w:rPr>
          <w:rFonts w:hint="eastAsia" w:ascii="Times New Roman" w:hAnsi="Times New Roman" w:eastAsia="宋体" w:cs="Times New Roman"/>
          <w:color w:val="auto"/>
          <w:sz w:val="24"/>
          <w:szCs w:val="24"/>
          <w:highlight w:val="none"/>
          <w:lang w:val="en-US" w:eastAsia="zh-CN"/>
        </w:rPr>
        <w:t>electrical generating station</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由建筑物、能量转换设备和全部必要的辅助设备组成的生产电能的工厂。</w:t>
      </w:r>
    </w:p>
    <w:p>
      <w:pPr>
        <w:pStyle w:val="59"/>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firstLine="0" w:firstLineChars="0"/>
        <w:textAlignment w:val="auto"/>
        <w:outlineLvl w:val="1"/>
        <w:rPr>
          <w:rFonts w:hint="eastAsia" w:ascii="宋体" w:hAnsi="宋体" w:eastAsia="宋体" w:cs="宋体"/>
          <w:color w:val="auto"/>
          <w:kern w:val="0"/>
          <w:sz w:val="24"/>
          <w:szCs w:val="24"/>
          <w:highlight w:val="none"/>
          <w:lang w:val="en-US" w:eastAsia="zh-CN"/>
        </w:rPr>
      </w:pPr>
      <w:bookmarkStart w:id="28" w:name="_Toc25530"/>
      <w:r>
        <w:rPr>
          <w:rFonts w:hint="eastAsia" w:ascii="Times New Roman" w:hAnsi="Times New Roman" w:eastAsia="宋体" w:cs="Times New Roman"/>
          <w:b/>
          <w:bCs/>
          <w:color w:val="auto"/>
          <w:sz w:val="24"/>
          <w:szCs w:val="24"/>
          <w:highlight w:val="none"/>
          <w:lang w:val="en-US" w:eastAsia="zh-CN"/>
        </w:rPr>
        <w:t xml:space="preserve">2.0.3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0"/>
          <w:sz w:val="24"/>
          <w:szCs w:val="24"/>
          <w:highlight w:val="none"/>
          <w:lang w:val="en-US" w:eastAsia="zh-CN"/>
        </w:rPr>
        <w:t xml:space="preserve">变电站  </w:t>
      </w:r>
      <w:r>
        <w:rPr>
          <w:rFonts w:hint="eastAsia" w:ascii="Times New Roman" w:hAnsi="Times New Roman" w:eastAsia="宋体" w:cs="Times New Roman"/>
          <w:color w:val="auto"/>
          <w:sz w:val="24"/>
          <w:szCs w:val="24"/>
          <w:highlight w:val="none"/>
          <w:lang w:val="en-US" w:eastAsia="zh-CN"/>
        </w:rPr>
        <w:t>transformer substation</w:t>
      </w:r>
      <w:bookmarkEnd w:id="28"/>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sz w:val="24"/>
          <w:highlight w:val="none"/>
          <w:u w:val="none" w:color="auto"/>
          <w:lang w:val="en-US" w:eastAsia="zh-CN"/>
        </w:rPr>
        <w:t>电力系统中对电压和电流进行变换、接受电能及分配电能的场所。</w:t>
      </w:r>
    </w:p>
    <w:p>
      <w:pPr>
        <w:pStyle w:val="59"/>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firstLine="0" w:firstLineChars="0"/>
        <w:textAlignment w:val="auto"/>
        <w:outlineLvl w:val="1"/>
        <w:rPr>
          <w:rFonts w:hint="eastAsia" w:ascii="宋体" w:hAnsi="宋体" w:eastAsia="宋体" w:cs="宋体"/>
          <w:color w:val="auto"/>
          <w:kern w:val="2"/>
          <w:sz w:val="24"/>
          <w:szCs w:val="24"/>
          <w:highlight w:val="none"/>
          <w:lang w:val="en-US" w:eastAsia="zh-CN"/>
        </w:rPr>
      </w:pPr>
      <w:bookmarkStart w:id="29" w:name="_Toc11581"/>
      <w:r>
        <w:rPr>
          <w:rFonts w:hint="eastAsia" w:ascii="Times New Roman" w:hAnsi="Times New Roman" w:eastAsia="宋体" w:cs="Times New Roman"/>
          <w:b/>
          <w:bCs/>
          <w:color w:val="auto"/>
          <w:sz w:val="24"/>
          <w:szCs w:val="24"/>
          <w:highlight w:val="none"/>
          <w:lang w:val="en-US" w:eastAsia="zh-CN"/>
        </w:rPr>
        <w:t xml:space="preserve">2.0.4  </w:t>
      </w:r>
      <w:r>
        <w:rPr>
          <w:rFonts w:hint="eastAsia" w:ascii="宋体" w:hAnsi="宋体" w:eastAsia="宋体" w:cs="宋体"/>
          <w:color w:val="auto"/>
          <w:kern w:val="2"/>
          <w:sz w:val="24"/>
          <w:szCs w:val="24"/>
          <w:highlight w:val="none"/>
          <w:lang w:val="en-US" w:eastAsia="zh-CN"/>
        </w:rPr>
        <w:t xml:space="preserve">换流站  </w:t>
      </w:r>
      <w:r>
        <w:rPr>
          <w:rFonts w:hint="eastAsia" w:ascii="Times New Roman" w:hAnsi="Times New Roman" w:eastAsia="宋体" w:cs="Times New Roman"/>
          <w:color w:val="auto"/>
          <w:sz w:val="24"/>
          <w:szCs w:val="24"/>
          <w:highlight w:val="none"/>
          <w:lang w:val="en-US" w:eastAsia="zh-CN"/>
        </w:rPr>
        <w:t>converter station</w:t>
      </w:r>
      <w:bookmarkEnd w:id="29"/>
    </w:p>
    <w:p>
      <w:pPr>
        <w:pStyle w:val="59"/>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将交流电变换为直流电或者将直流电变换为交流电的转换，达到电力系统对于安全稳定及电能质量的要求而建立的站点。</w:t>
      </w:r>
    </w:p>
    <w:p>
      <w:pPr>
        <w:pStyle w:val="59"/>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firstLine="0" w:firstLineChars="0"/>
        <w:textAlignment w:val="auto"/>
        <w:outlineLvl w:val="1"/>
        <w:rPr>
          <w:rFonts w:hint="eastAsia" w:ascii="宋体" w:hAnsi="宋体" w:eastAsia="宋体" w:cs="宋体"/>
          <w:color w:val="auto"/>
          <w:kern w:val="2"/>
          <w:sz w:val="24"/>
          <w:szCs w:val="24"/>
          <w:highlight w:val="none"/>
          <w:lang w:val="en-US" w:eastAsia="zh-CN"/>
        </w:rPr>
      </w:pPr>
      <w:bookmarkStart w:id="30" w:name="_Toc13787"/>
      <w:r>
        <w:rPr>
          <w:rFonts w:hint="eastAsia" w:ascii="Times New Roman" w:hAnsi="Times New Roman" w:eastAsia="宋体" w:cs="Times New Roman"/>
          <w:b/>
          <w:bCs/>
          <w:color w:val="auto"/>
          <w:sz w:val="24"/>
          <w:szCs w:val="24"/>
          <w:highlight w:val="none"/>
          <w:lang w:val="en-US" w:eastAsia="zh-CN"/>
        </w:rPr>
        <w:t xml:space="preserve">2.0.5  </w:t>
      </w:r>
      <w:r>
        <w:rPr>
          <w:rFonts w:hint="eastAsia" w:ascii="宋体" w:hAnsi="宋体" w:eastAsia="宋体" w:cs="宋体"/>
          <w:color w:val="auto"/>
          <w:kern w:val="2"/>
          <w:sz w:val="24"/>
          <w:szCs w:val="24"/>
          <w:highlight w:val="none"/>
          <w:lang w:val="en-US" w:eastAsia="zh-CN"/>
        </w:rPr>
        <w:t xml:space="preserve">水工建筑物  </w:t>
      </w:r>
      <w:r>
        <w:rPr>
          <w:rFonts w:hint="eastAsia" w:ascii="Times New Roman" w:hAnsi="Times New Roman" w:eastAsia="宋体" w:cs="Times New Roman"/>
          <w:color w:val="auto"/>
          <w:sz w:val="24"/>
          <w:szCs w:val="24"/>
          <w:highlight w:val="none"/>
          <w:lang w:val="en-US" w:eastAsia="zh-CN"/>
        </w:rPr>
        <w:t>hydraulic structures</w:t>
      </w:r>
      <w:bookmarkEnd w:id="30"/>
    </w:p>
    <w:p>
      <w:pPr>
        <w:pStyle w:val="59"/>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rPr>
      </w:pPr>
      <w:r>
        <w:rPr>
          <w:rFonts w:hint="eastAsia"/>
          <w:sz w:val="24"/>
          <w:highlight w:val="none"/>
          <w:u w:val="none" w:color="auto"/>
          <w:lang w:val="en-US" w:eastAsia="zh-CN"/>
        </w:rPr>
        <w:t>水的静力或动力的作用下工作，并与水发生相互影响的各种建筑物。包括挡水建筑物、泄水建筑物、输水建筑物、水电站厂房、开关站、通航建筑物及其附属设施。</w:t>
      </w:r>
    </w:p>
    <w:p>
      <w:pPr>
        <w:pStyle w:val="59"/>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firstLine="0" w:firstLineChars="0"/>
        <w:textAlignment w:val="auto"/>
        <w:outlineLvl w:val="1"/>
        <w:rPr>
          <w:rFonts w:hint="eastAsia" w:ascii="宋体" w:hAnsi="宋体" w:eastAsia="宋体" w:cs="宋体"/>
          <w:color w:val="auto"/>
          <w:kern w:val="2"/>
          <w:sz w:val="24"/>
          <w:szCs w:val="24"/>
          <w:highlight w:val="none"/>
          <w:lang w:val="en-US" w:eastAsia="zh-CN"/>
        </w:rPr>
      </w:pPr>
      <w:bookmarkStart w:id="31" w:name="_Toc30592"/>
      <w:r>
        <w:rPr>
          <w:rFonts w:hint="eastAsia" w:ascii="Times New Roman" w:hAnsi="Times New Roman" w:eastAsia="宋体" w:cs="Times New Roman"/>
          <w:b/>
          <w:bCs/>
          <w:color w:val="auto"/>
          <w:sz w:val="24"/>
          <w:szCs w:val="24"/>
          <w:highlight w:val="none"/>
          <w:lang w:val="en-US" w:eastAsia="zh-CN"/>
        </w:rPr>
        <w:t xml:space="preserve">2.0.6  </w:t>
      </w:r>
      <w:r>
        <w:rPr>
          <w:rFonts w:hint="eastAsia" w:ascii="宋体" w:hAnsi="宋体" w:eastAsia="宋体" w:cs="宋体"/>
          <w:color w:val="auto"/>
          <w:kern w:val="2"/>
          <w:sz w:val="24"/>
          <w:szCs w:val="24"/>
          <w:highlight w:val="none"/>
          <w:lang w:val="en-US" w:eastAsia="zh-CN"/>
        </w:rPr>
        <w:t xml:space="preserve">工作票  </w:t>
      </w:r>
      <w:r>
        <w:rPr>
          <w:rFonts w:hint="eastAsia" w:ascii="Times New Roman" w:hAnsi="Times New Roman" w:eastAsia="宋体" w:cs="Times New Roman"/>
          <w:color w:val="auto"/>
          <w:sz w:val="24"/>
          <w:szCs w:val="24"/>
          <w:highlight w:val="none"/>
          <w:lang w:val="en-US" w:eastAsia="zh-CN"/>
        </w:rPr>
        <w:t>working permit</w:t>
      </w:r>
      <w:bookmarkEnd w:id="31"/>
    </w:p>
    <w:p>
      <w:pPr>
        <w:pStyle w:val="59"/>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为电网发电、输电、变电、配电、调度等作业安全有序实施而设计的一种组织性书面形式控制依据。</w:t>
      </w:r>
    </w:p>
    <w:p>
      <w:pPr>
        <w:pStyle w:val="59"/>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firstLine="0" w:firstLineChars="0"/>
        <w:textAlignment w:val="auto"/>
        <w:outlineLvl w:val="1"/>
        <w:rPr>
          <w:rFonts w:hint="eastAsia" w:ascii="宋体" w:hAnsi="宋体" w:eastAsia="宋体" w:cs="宋体"/>
          <w:color w:val="auto"/>
          <w:kern w:val="2"/>
          <w:sz w:val="24"/>
          <w:szCs w:val="24"/>
          <w:highlight w:val="none"/>
          <w:lang w:val="en-US" w:eastAsia="zh-CN"/>
        </w:rPr>
      </w:pPr>
      <w:bookmarkStart w:id="32" w:name="_Toc16200"/>
      <w:r>
        <w:rPr>
          <w:rFonts w:hint="eastAsia" w:ascii="Times New Roman" w:hAnsi="Times New Roman" w:eastAsia="宋体" w:cs="Times New Roman"/>
          <w:b/>
          <w:bCs/>
          <w:color w:val="auto"/>
          <w:sz w:val="24"/>
          <w:szCs w:val="24"/>
          <w:highlight w:val="none"/>
          <w:lang w:val="en-US" w:eastAsia="zh-CN"/>
        </w:rPr>
        <w:t xml:space="preserve">2.0.7  </w:t>
      </w:r>
      <w:r>
        <w:rPr>
          <w:rFonts w:hint="eastAsia" w:ascii="宋体" w:hAnsi="宋体" w:eastAsia="宋体" w:cs="宋体"/>
          <w:color w:val="auto"/>
          <w:kern w:val="2"/>
          <w:sz w:val="24"/>
          <w:szCs w:val="24"/>
          <w:highlight w:val="none"/>
          <w:lang w:val="en-US" w:eastAsia="zh-CN"/>
        </w:rPr>
        <w:t xml:space="preserve">操作票  </w:t>
      </w:r>
      <w:r>
        <w:rPr>
          <w:rFonts w:hint="eastAsia" w:ascii="Times New Roman" w:hAnsi="Times New Roman" w:eastAsia="宋体" w:cs="Times New Roman"/>
          <w:color w:val="auto"/>
          <w:sz w:val="24"/>
          <w:szCs w:val="24"/>
          <w:highlight w:val="none"/>
          <w:lang w:val="en-US" w:eastAsia="zh-CN"/>
        </w:rPr>
        <w:t>operation permit</w:t>
      </w:r>
      <w:bookmarkEnd w:id="32"/>
    </w:p>
    <w:p>
      <w:pPr>
        <w:pStyle w:val="59"/>
        <w:keepNext w:val="0"/>
        <w:keepLines w:val="0"/>
        <w:pageBreakBefore w:val="0"/>
        <w:kinsoku/>
        <w:wordWrap/>
        <w:overflowPunct/>
        <w:topLinePunct w:val="0"/>
        <w:bidi w:val="0"/>
        <w:adjustRightInd/>
        <w:snapToGrid/>
        <w:spacing w:line="360" w:lineRule="auto"/>
        <w:ind w:left="0" w:leftChars="0" w:firstLine="0" w:firstLineChars="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    为改变电气设备及相关因素的运用状态进行逻辑性操作和有序沟通而设计的一种组织性书面形式控制依据。</w:t>
      </w:r>
    </w:p>
    <w:p>
      <w:pPr>
        <w:pStyle w:val="59"/>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firstLine="0" w:firstLineChars="0"/>
        <w:textAlignment w:val="auto"/>
        <w:outlineLvl w:val="1"/>
        <w:rPr>
          <w:rFonts w:hint="eastAsia" w:ascii="宋体" w:hAnsi="宋体" w:eastAsia="宋体" w:cs="宋体"/>
          <w:color w:val="auto"/>
          <w:kern w:val="2"/>
          <w:sz w:val="24"/>
          <w:szCs w:val="24"/>
          <w:highlight w:val="none"/>
          <w:lang w:val="en-US" w:eastAsia="zh-CN"/>
        </w:rPr>
      </w:pPr>
      <w:bookmarkStart w:id="33" w:name="_Toc9278"/>
      <w:r>
        <w:rPr>
          <w:rFonts w:hint="eastAsia" w:ascii="Times New Roman" w:hAnsi="Times New Roman" w:eastAsia="宋体" w:cs="Times New Roman"/>
          <w:b/>
          <w:bCs/>
          <w:color w:val="auto"/>
          <w:sz w:val="24"/>
          <w:szCs w:val="24"/>
          <w:highlight w:val="none"/>
          <w:lang w:val="en-US" w:eastAsia="zh-CN"/>
        </w:rPr>
        <w:t xml:space="preserve">2.0.8  </w:t>
      </w:r>
      <w:r>
        <w:rPr>
          <w:rFonts w:hint="eastAsia" w:ascii="宋体" w:hAnsi="宋体" w:eastAsia="宋体" w:cs="宋体"/>
          <w:color w:val="auto"/>
          <w:kern w:val="2"/>
          <w:sz w:val="24"/>
          <w:szCs w:val="24"/>
          <w:highlight w:val="none"/>
          <w:lang w:val="en-US" w:eastAsia="zh-CN"/>
        </w:rPr>
        <w:t xml:space="preserve">白名单  </w:t>
      </w:r>
      <w:r>
        <w:rPr>
          <w:rFonts w:hint="eastAsia" w:ascii="Times New Roman" w:hAnsi="Times New Roman" w:eastAsia="宋体" w:cs="Times New Roman"/>
          <w:color w:val="auto"/>
          <w:sz w:val="24"/>
          <w:szCs w:val="24"/>
          <w:highlight w:val="none"/>
          <w:lang w:val="en-US" w:eastAsia="zh-CN"/>
        </w:rPr>
        <w:t>white list</w:t>
      </w:r>
      <w:bookmarkEnd w:id="33"/>
    </w:p>
    <w:p>
      <w:pPr>
        <w:pStyle w:val="59"/>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default" w:hAnsi="宋体" w:eastAsia="宋体" w:cs="Times New Roman"/>
          <w:color w:val="auto"/>
          <w:kern w:val="2"/>
          <w:sz w:val="21"/>
          <w:szCs w:val="21"/>
          <w:highlight w:val="none"/>
          <w:lang w:val="en-US" w:eastAsia="zh-CN"/>
        </w:rPr>
      </w:pPr>
      <w:r>
        <w:rPr>
          <w:rFonts w:hint="eastAsia"/>
          <w:sz w:val="24"/>
          <w:highlight w:val="none"/>
          <w:u w:val="none" w:color="auto"/>
          <w:lang w:val="en-US" w:eastAsia="zh-CN"/>
        </w:rPr>
        <w:t>凡进入重点区域的人员（工作人员、外委人员、施工人员等），按规定在客户相关管理部门办理备案手续而形成允许可出入的名单。</w:t>
      </w:r>
    </w:p>
    <w:p>
      <w:pPr>
        <w:pStyle w:val="2"/>
        <w:keepNext w:val="0"/>
        <w:keepLines w:val="0"/>
        <w:pageBreakBefore/>
        <w:spacing w:line="240" w:lineRule="auto"/>
        <w:jc w:val="center"/>
        <w:rPr>
          <w:rFonts w:hint="eastAsia" w:eastAsia="宋体"/>
          <w:b w:val="0"/>
          <w:bCs w:val="0"/>
          <w:sz w:val="30"/>
          <w:highlight w:val="none"/>
        </w:rPr>
      </w:pPr>
      <w:bookmarkStart w:id="34" w:name="_Toc22816"/>
      <w:r>
        <w:rPr>
          <w:rFonts w:hint="eastAsia" w:eastAsia="宋体"/>
          <w:sz w:val="30"/>
          <w:highlight w:val="none"/>
          <w:lang w:val="en-US" w:eastAsia="zh-CN"/>
        </w:rPr>
        <w:t>3</w:t>
      </w:r>
      <w:r>
        <w:rPr>
          <w:rFonts w:hint="eastAsia" w:eastAsia="宋体"/>
          <w:sz w:val="30"/>
          <w:highlight w:val="none"/>
        </w:rPr>
        <w:t xml:space="preserve"> </w:t>
      </w:r>
      <w:r>
        <w:rPr>
          <w:rFonts w:hint="eastAsia" w:eastAsia="宋体"/>
          <w:b w:val="0"/>
          <w:bCs w:val="0"/>
          <w:sz w:val="30"/>
          <w:highlight w:val="none"/>
          <w:lang w:val="en-US" w:eastAsia="zh-CN"/>
        </w:rPr>
        <w:t>管理及服务场所分区分类</w:t>
      </w:r>
      <w:bookmarkEnd w:id="34"/>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rPr>
      </w:pPr>
      <w:bookmarkStart w:id="35" w:name="_Toc1308"/>
      <w:r>
        <w:rPr>
          <w:rFonts w:hint="default" w:ascii="Times New Roman" w:hAnsi="Times New Roman" w:eastAsia="宋体" w:cs="Times New Roman"/>
          <w:b/>
          <w:bCs/>
          <w:color w:val="auto"/>
          <w:kern w:val="0"/>
          <w:sz w:val="24"/>
          <w:szCs w:val="24"/>
          <w:highlight w:val="none"/>
          <w:lang w:val="en-US" w:eastAsia="zh-CN"/>
        </w:rPr>
        <w:t>3</w:t>
      </w:r>
      <w:r>
        <w:rPr>
          <w:rFonts w:hint="default" w:ascii="Times New Roman" w:hAnsi="Times New Roman" w:eastAsia="宋体" w:cs="Times New Roman"/>
          <w:b/>
          <w:bCs/>
          <w:color w:val="auto"/>
          <w:kern w:val="0"/>
          <w:sz w:val="24"/>
          <w:szCs w:val="24"/>
          <w:highlight w:val="none"/>
          <w:lang w:val="en-US"/>
        </w:rPr>
        <w:t>.1</w:t>
      </w:r>
      <w:r>
        <w:rPr>
          <w:rFonts w:hint="default" w:ascii="Times New Roman" w:hAnsi="Times New Roman" w:eastAsia="宋体" w:cs="Times New Roman"/>
          <w:b/>
          <w:bCs/>
          <w:color w:val="auto"/>
          <w:sz w:val="24"/>
          <w:szCs w:val="24"/>
          <w:highlight w:val="none"/>
        </w:rPr>
        <w:t xml:space="preserve">  </w:t>
      </w:r>
      <w:r>
        <w:rPr>
          <w:rFonts w:hint="eastAsia" w:ascii="宋体" w:hAnsi="宋体" w:eastAsia="宋体" w:cs="宋体"/>
          <w:b/>
          <w:bCs/>
          <w:color w:val="auto"/>
          <w:sz w:val="24"/>
          <w:szCs w:val="24"/>
          <w:highlight w:val="none"/>
        </w:rPr>
        <w:t>管理场所分类</w:t>
      </w:r>
      <w:bookmarkEnd w:id="35"/>
    </w:p>
    <w:p>
      <w:pPr>
        <w:keepNext w:val="0"/>
        <w:keepLines w:val="0"/>
        <w:pageBreakBefore w:val="0"/>
        <w:widowControl w:val="0"/>
        <w:kinsoku/>
        <w:overflowPunct/>
        <w:autoSpaceDE/>
        <w:autoSpaceDN/>
        <w:bidi w:val="0"/>
        <w:adjustRightInd/>
        <w:snapToGrid/>
        <w:spacing w:line="360" w:lineRule="auto"/>
        <w:ind w:firstLine="0" w:firstLineChars="0"/>
        <w:textAlignment w:val="auto"/>
        <w:rPr>
          <w:rFonts w:hint="eastAsia" w:ascii="宋体" w:hAnsi="宋体"/>
          <w:color w:val="auto"/>
          <w:sz w:val="24"/>
          <w:szCs w:val="24"/>
          <w:highlight w:val="none"/>
          <w:lang w:val="en-US" w:eastAsia="zh-CN"/>
        </w:rPr>
      </w:pPr>
      <w:r>
        <w:rPr>
          <w:rFonts w:hint="default" w:ascii="Times New Roman" w:hAnsi="Times New Roman" w:eastAsia="黑体" w:cs="Times New Roman"/>
          <w:b/>
          <w:bCs/>
          <w:color w:val="auto"/>
          <w:sz w:val="24"/>
          <w:szCs w:val="24"/>
          <w:highlight w:val="none"/>
          <w:lang w:val="en-US" w:eastAsia="zh-CN"/>
        </w:rPr>
        <w:t>3.1.1</w:t>
      </w:r>
      <w:r>
        <w:rPr>
          <w:rFonts w:hint="default" w:ascii="Times New Roman" w:hAnsi="Times New Roman" w:cs="Times New Roman"/>
          <w:b/>
          <w:bCs/>
          <w:color w:val="auto"/>
          <w:sz w:val="24"/>
          <w:szCs w:val="24"/>
          <w:highlight w:val="none"/>
          <w:lang w:val="en-US" w:eastAsia="zh-CN"/>
        </w:rPr>
        <w:t xml:space="preserve"> </w:t>
      </w:r>
      <w:r>
        <w:rPr>
          <w:rFonts w:hint="default" w:ascii="Times New Roman" w:hAnsi="Times New Roman" w:cs="Times New Roman"/>
          <w:color w:val="auto"/>
          <w:sz w:val="24"/>
          <w:szCs w:val="24"/>
          <w:highlight w:val="none"/>
          <w:lang w:val="en-US" w:eastAsia="zh-CN"/>
        </w:rPr>
        <w:t xml:space="preserve"> </w:t>
      </w:r>
      <w:r>
        <w:rPr>
          <w:rFonts w:hint="eastAsia" w:hAnsi="宋体" w:cs="Arial"/>
          <w:color w:val="auto"/>
          <w:sz w:val="24"/>
          <w:szCs w:val="24"/>
          <w:highlight w:val="none"/>
        </w:rPr>
        <w:t>根据</w:t>
      </w:r>
      <w:r>
        <w:rPr>
          <w:rFonts w:hint="eastAsia" w:hAnsi="宋体" w:cs="Arial"/>
          <w:color w:val="auto"/>
          <w:sz w:val="24"/>
          <w:szCs w:val="24"/>
          <w:highlight w:val="none"/>
          <w:lang w:val="en-US" w:eastAsia="zh-CN"/>
        </w:rPr>
        <w:t>电力作业场所</w:t>
      </w:r>
      <w:r>
        <w:rPr>
          <w:rFonts w:hint="eastAsia" w:hAnsi="宋体" w:cs="Arial"/>
          <w:color w:val="auto"/>
          <w:sz w:val="24"/>
          <w:szCs w:val="24"/>
          <w:highlight w:val="none"/>
        </w:rPr>
        <w:t>，电力</w:t>
      </w:r>
      <w:r>
        <w:rPr>
          <w:rFonts w:hint="eastAsia" w:hAnsi="宋体" w:cs="Arial"/>
          <w:color w:val="auto"/>
          <w:sz w:val="24"/>
          <w:szCs w:val="24"/>
          <w:highlight w:val="none"/>
          <w:lang w:eastAsia="zh-CN"/>
        </w:rPr>
        <w:t>工业</w:t>
      </w:r>
      <w:r>
        <w:rPr>
          <w:rFonts w:hint="eastAsia" w:hAnsi="宋体" w:cs="Arial"/>
          <w:color w:val="auto"/>
          <w:sz w:val="24"/>
          <w:szCs w:val="24"/>
          <w:highlight w:val="none"/>
        </w:rPr>
        <w:t>物业管理服务场所分为</w:t>
      </w:r>
      <w:r>
        <w:rPr>
          <w:rFonts w:hint="eastAsia" w:ascii="宋体" w:hAnsi="宋体"/>
          <w:color w:val="auto"/>
          <w:sz w:val="24"/>
          <w:szCs w:val="24"/>
          <w:highlight w:val="none"/>
        </w:rPr>
        <w:t>生产场所和非生产场所。</w:t>
      </w:r>
    </w:p>
    <w:p>
      <w:pPr>
        <w:keepNext w:val="0"/>
        <w:keepLines w:val="0"/>
        <w:pageBreakBefore w:val="0"/>
        <w:widowControl w:val="0"/>
        <w:kinsoku/>
        <w:overflowPunct/>
        <w:autoSpaceDE/>
        <w:autoSpaceDN/>
        <w:bidi w:val="0"/>
        <w:adjustRightInd/>
        <w:snapToGrid/>
        <w:spacing w:line="360" w:lineRule="auto"/>
        <w:ind w:firstLine="0" w:firstLineChars="0"/>
        <w:textAlignment w:val="auto"/>
        <w:rPr>
          <w:rFonts w:hint="eastAsia" w:ascii="宋体" w:hAnsi="宋体"/>
          <w:color w:val="auto"/>
          <w:sz w:val="24"/>
          <w:szCs w:val="24"/>
          <w:highlight w:val="none"/>
          <w:lang w:eastAsia="zh-CN"/>
        </w:rPr>
      </w:pPr>
      <w:r>
        <w:rPr>
          <w:rFonts w:hint="eastAsia" w:ascii="Times New Roman" w:hAnsi="Times New Roman" w:eastAsia="黑体" w:cs="Times New Roman"/>
          <w:b/>
          <w:bCs/>
          <w:color w:val="auto"/>
          <w:sz w:val="24"/>
          <w:szCs w:val="24"/>
          <w:highlight w:val="none"/>
          <w:lang w:val="en-US" w:eastAsia="zh-CN"/>
        </w:rPr>
        <w:t>3.1.2</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lang w:eastAsia="zh-CN"/>
        </w:rPr>
        <w:t>生产场所主要包括：输变电场站（变电站、换流站等）、调度机构、抽水蓄能电厂和相关输电线路等各级单位生产人员从事生产作业的地方。</w:t>
      </w:r>
    </w:p>
    <w:p>
      <w:pPr>
        <w:keepNext w:val="0"/>
        <w:keepLines w:val="0"/>
        <w:pageBreakBefore w:val="0"/>
        <w:widowControl w:val="0"/>
        <w:kinsoku/>
        <w:overflowPunct/>
        <w:autoSpaceDE/>
        <w:autoSpaceDN/>
        <w:bidi w:val="0"/>
        <w:adjustRightInd/>
        <w:snapToGrid/>
        <w:spacing w:line="360" w:lineRule="auto"/>
        <w:ind w:firstLine="0" w:firstLineChars="0"/>
        <w:textAlignment w:val="auto"/>
        <w:rPr>
          <w:rFonts w:hint="eastAsia" w:ascii="宋体" w:hAnsi="宋体"/>
          <w:color w:val="auto"/>
          <w:sz w:val="24"/>
          <w:szCs w:val="24"/>
          <w:highlight w:val="none"/>
          <w:lang w:eastAsia="zh-CN"/>
        </w:rPr>
      </w:pPr>
      <w:r>
        <w:rPr>
          <w:rFonts w:hint="eastAsia" w:ascii="Times New Roman" w:hAnsi="Times New Roman" w:eastAsia="黑体" w:cs="Times New Roman"/>
          <w:b/>
          <w:bCs/>
          <w:color w:val="auto"/>
          <w:sz w:val="24"/>
          <w:szCs w:val="24"/>
          <w:highlight w:val="none"/>
          <w:lang w:val="en-US" w:eastAsia="zh-CN"/>
        </w:rPr>
        <w:t xml:space="preserve">3.1.3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lang w:eastAsia="zh-CN"/>
        </w:rPr>
        <w:t>非生产场所主要包括：办公场所、营业场所、物资仓库、培训中心、员工活动中心、公寓、食堂等。</w:t>
      </w:r>
    </w:p>
    <w:p>
      <w:pPr>
        <w:keepNext w:val="0"/>
        <w:keepLines w:val="0"/>
        <w:pageBreakBefore w:val="0"/>
        <w:widowControl w:val="0"/>
        <w:numPr>
          <w:ilvl w:val="0"/>
          <w:numId w:val="0"/>
        </w:numPr>
        <w:tabs>
          <w:tab w:val="left" w:pos="0"/>
        </w:tabs>
        <w:kinsoku/>
        <w:wordWrap w:val="0"/>
        <w:overflowPunct/>
        <w:topLinePunct/>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3.1.4 </w:t>
      </w:r>
      <w:r>
        <w:rPr>
          <w:rFonts w:hint="eastAsia" w:ascii="宋体" w:hAnsi="宋体"/>
          <w:color w:val="auto"/>
          <w:sz w:val="24"/>
          <w:szCs w:val="24"/>
          <w:highlight w:val="none"/>
          <w:lang w:val="en-US" w:eastAsia="zh-CN"/>
        </w:rPr>
        <w:t xml:space="preserve"> </w:t>
      </w:r>
      <w:r>
        <w:rPr>
          <w:rFonts w:hint="eastAsia" w:ascii="宋体" w:hAnsi="宋体" w:eastAsia="宋体" w:cs="Times New Roman"/>
          <w:color w:val="auto"/>
          <w:sz w:val="24"/>
          <w:szCs w:val="24"/>
          <w:highlight w:val="none"/>
          <w:lang w:val="en-US" w:eastAsia="zh-CN"/>
        </w:rPr>
        <w:t>根据电力工业物业项目特点，物业项目类型主要分成电力调度大楼、发电厂类、换流站（变电站）和仓储类四类</w:t>
      </w:r>
      <w:r>
        <w:rPr>
          <w:rFonts w:hint="eastAsia" w:ascii="宋体" w:hAnsi="宋体" w:cs="Times New Roman"/>
          <w:color w:val="auto"/>
          <w:sz w:val="24"/>
          <w:szCs w:val="24"/>
          <w:highlight w:val="none"/>
          <w:lang w:val="en-US" w:eastAsia="zh-CN"/>
        </w:rPr>
        <w:t>:</w:t>
      </w:r>
    </w:p>
    <w:p>
      <w:pPr>
        <w:keepNext w:val="0"/>
        <w:keepLines w:val="0"/>
        <w:pageBreakBefore w:val="0"/>
        <w:widowControl w:val="0"/>
        <w:numPr>
          <w:ilvl w:val="0"/>
          <w:numId w:val="0"/>
        </w:numPr>
        <w:tabs>
          <w:tab w:val="left" w:pos="0"/>
        </w:tabs>
        <w:kinsoku/>
        <w:wordWrap w:val="0"/>
        <w:overflowPunct/>
        <w:topLinePunct/>
        <w:autoSpaceDE/>
        <w:autoSpaceDN/>
        <w:bidi w:val="0"/>
        <w:adjustRightInd/>
        <w:snapToGrid/>
        <w:spacing w:line="360" w:lineRule="auto"/>
        <w:ind w:left="420" w:leftChars="0"/>
        <w:jc w:val="left"/>
        <w:textAlignment w:val="auto"/>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 xml:space="preserve">1  </w:t>
      </w:r>
      <w:r>
        <w:rPr>
          <w:rFonts w:hint="eastAsia" w:ascii="宋体" w:hAnsi="宋体" w:eastAsia="宋体" w:cs="Times New Roman"/>
          <w:color w:val="auto"/>
          <w:sz w:val="24"/>
          <w:szCs w:val="24"/>
          <w:highlight w:val="none"/>
          <w:lang w:val="en-US" w:eastAsia="zh-CN"/>
        </w:rPr>
        <w:t>电力调度大楼：主要包括电力调度大厦、电力调度中心及其办公场所等附属设施；</w:t>
      </w:r>
    </w:p>
    <w:p>
      <w:pPr>
        <w:keepNext w:val="0"/>
        <w:keepLines w:val="0"/>
        <w:pageBreakBefore w:val="0"/>
        <w:widowControl w:val="0"/>
        <w:numPr>
          <w:ilvl w:val="0"/>
          <w:numId w:val="0"/>
        </w:numPr>
        <w:tabs>
          <w:tab w:val="left" w:pos="0"/>
        </w:tabs>
        <w:kinsoku/>
        <w:wordWrap w:val="0"/>
        <w:overflowPunct/>
        <w:topLinePunct/>
        <w:autoSpaceDE/>
        <w:autoSpaceDN/>
        <w:bidi w:val="0"/>
        <w:adjustRightInd/>
        <w:snapToGrid/>
        <w:spacing w:line="360" w:lineRule="auto"/>
        <w:ind w:left="420" w:leftChars="0"/>
        <w:jc w:val="left"/>
        <w:textAlignment w:val="auto"/>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 xml:space="preserve">2  </w:t>
      </w:r>
      <w:r>
        <w:rPr>
          <w:rFonts w:hint="eastAsia" w:ascii="宋体" w:hAnsi="宋体" w:eastAsia="宋体" w:cs="Times New Roman"/>
          <w:color w:val="auto"/>
          <w:sz w:val="24"/>
          <w:szCs w:val="24"/>
          <w:highlight w:val="none"/>
          <w:lang w:val="en-US" w:eastAsia="zh-CN"/>
        </w:rPr>
        <w:t>发电厂：主要包括发电厂，蓄能电厂及其办公场所等附属设施；</w:t>
      </w:r>
    </w:p>
    <w:p>
      <w:pPr>
        <w:keepNext w:val="0"/>
        <w:keepLines w:val="0"/>
        <w:pageBreakBefore w:val="0"/>
        <w:widowControl w:val="0"/>
        <w:numPr>
          <w:ilvl w:val="0"/>
          <w:numId w:val="0"/>
        </w:numPr>
        <w:tabs>
          <w:tab w:val="left" w:pos="0"/>
        </w:tabs>
        <w:kinsoku/>
        <w:wordWrap w:val="0"/>
        <w:overflowPunct/>
        <w:topLinePunct/>
        <w:autoSpaceDE/>
        <w:autoSpaceDN/>
        <w:bidi w:val="0"/>
        <w:adjustRightInd/>
        <w:snapToGrid/>
        <w:spacing w:line="360" w:lineRule="auto"/>
        <w:ind w:left="420" w:leftChars="0"/>
        <w:jc w:val="left"/>
        <w:textAlignment w:val="auto"/>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 xml:space="preserve">3  </w:t>
      </w:r>
      <w:r>
        <w:rPr>
          <w:rFonts w:hint="eastAsia" w:ascii="宋体" w:hAnsi="宋体" w:eastAsia="宋体" w:cs="Times New Roman"/>
          <w:color w:val="auto"/>
          <w:sz w:val="24"/>
          <w:szCs w:val="24"/>
          <w:highlight w:val="none"/>
          <w:lang w:val="en-US" w:eastAsia="zh-CN"/>
        </w:rPr>
        <w:t>换流站（变电站）：主要包括高压、超高压交直流换流站、变电站及其办公场所等附属设施；</w:t>
      </w:r>
    </w:p>
    <w:p>
      <w:pPr>
        <w:keepNext w:val="0"/>
        <w:keepLines w:val="0"/>
        <w:pageBreakBefore w:val="0"/>
        <w:widowControl w:val="0"/>
        <w:numPr>
          <w:ilvl w:val="0"/>
          <w:numId w:val="0"/>
        </w:numPr>
        <w:tabs>
          <w:tab w:val="left" w:pos="0"/>
        </w:tabs>
        <w:kinsoku/>
        <w:wordWrap w:val="0"/>
        <w:overflowPunct/>
        <w:topLinePunct/>
        <w:autoSpaceDE/>
        <w:autoSpaceDN/>
        <w:bidi w:val="0"/>
        <w:adjustRightInd/>
        <w:snapToGrid/>
        <w:spacing w:line="360" w:lineRule="auto"/>
        <w:ind w:left="420" w:leftChars="0"/>
        <w:jc w:val="left"/>
        <w:textAlignment w:val="auto"/>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 xml:space="preserve">4  </w:t>
      </w:r>
      <w:r>
        <w:rPr>
          <w:rFonts w:hint="eastAsia" w:ascii="宋体" w:hAnsi="宋体" w:eastAsia="宋体" w:cs="Times New Roman"/>
          <w:color w:val="auto"/>
          <w:sz w:val="24"/>
          <w:szCs w:val="24"/>
          <w:highlight w:val="none"/>
          <w:lang w:val="en-US" w:eastAsia="zh-CN"/>
        </w:rPr>
        <w:t>仓储：发电、输电、变电、配电、计量等电力设备、材料的存储、配送仓库。</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36" w:name="_Toc32625"/>
      <w:r>
        <w:rPr>
          <w:rFonts w:hint="eastAsia" w:ascii="宋体" w:hAnsi="宋体" w:eastAsia="宋体" w:cs="宋体"/>
          <w:b/>
          <w:bCs/>
          <w:color w:val="auto"/>
          <w:sz w:val="24"/>
          <w:szCs w:val="24"/>
          <w:highlight w:val="none"/>
          <w:lang w:val="en-US" w:eastAsia="zh-CN"/>
        </w:rPr>
        <w:t>3.2  物业服务人员现场服务区域分类</w:t>
      </w:r>
      <w:bookmarkEnd w:id="36"/>
    </w:p>
    <w:p>
      <w:pPr>
        <w:pStyle w:val="20"/>
        <w:keepNext w:val="0"/>
        <w:keepLines w:val="0"/>
        <w:pageBreakBefore w:val="0"/>
        <w:widowControl w:val="0"/>
        <w:kinsoku/>
        <w:overflowPunct/>
        <w:autoSpaceDE/>
        <w:autoSpaceDN/>
        <w:bidi w:val="0"/>
        <w:adjustRightInd/>
        <w:snapToGrid/>
        <w:spacing w:after="0" w:line="360" w:lineRule="auto"/>
        <w:textAlignment w:val="auto"/>
        <w:rPr>
          <w:rFonts w:hint="eastAsia"/>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3.2.1</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根据</w:t>
      </w:r>
      <w:r>
        <w:rPr>
          <w:rFonts w:hint="eastAsia" w:ascii="Calibri" w:hAnsi="宋体" w:eastAsia="宋体" w:cs="Arial"/>
          <w:color w:val="auto"/>
          <w:kern w:val="2"/>
          <w:sz w:val="24"/>
          <w:szCs w:val="24"/>
          <w:highlight w:val="none"/>
          <w:lang w:val="en-US" w:eastAsia="zh-CN" w:bidi="ar-SA"/>
        </w:rPr>
        <w:t>物业服务人员现场服务</w:t>
      </w:r>
      <w:r>
        <w:rPr>
          <w:rFonts w:hint="eastAsia" w:hAnsi="宋体" w:eastAsia="宋体" w:cs="Arial"/>
          <w:color w:val="auto"/>
          <w:kern w:val="2"/>
          <w:sz w:val="24"/>
          <w:szCs w:val="24"/>
          <w:highlight w:val="none"/>
          <w:lang w:val="en-US" w:eastAsia="zh-CN" w:bidi="ar-SA"/>
        </w:rPr>
        <w:t>区域管控情况</w:t>
      </w:r>
      <w:r>
        <w:rPr>
          <w:rFonts w:hint="eastAsia" w:ascii="宋体" w:hAnsi="宋体"/>
          <w:color w:val="auto"/>
          <w:sz w:val="24"/>
          <w:szCs w:val="24"/>
          <w:highlight w:val="none"/>
        </w:rPr>
        <w:t>，</w:t>
      </w:r>
      <w:r>
        <w:rPr>
          <w:rFonts w:hint="eastAsia" w:ascii="宋体" w:hAnsi="宋体" w:eastAsia="宋体" w:cs="Times New Roman"/>
          <w:color w:val="auto"/>
          <w:sz w:val="24"/>
          <w:szCs w:val="24"/>
          <w:highlight w:val="none"/>
          <w:lang w:eastAsia="zh-CN"/>
        </w:rPr>
        <w:t>物业服务人员现场服务区域</w:t>
      </w:r>
      <w:r>
        <w:rPr>
          <w:rFonts w:hint="eastAsia" w:ascii="宋体" w:hAnsi="宋体" w:eastAsia="宋体" w:cs="Times New Roman"/>
          <w:color w:val="auto"/>
          <w:sz w:val="24"/>
          <w:szCs w:val="24"/>
          <w:highlight w:val="none"/>
          <w:lang w:val="en-US" w:eastAsia="zh-CN"/>
        </w:rPr>
        <w:t>应分为</w:t>
      </w:r>
      <w:r>
        <w:rPr>
          <w:rFonts w:hint="eastAsia" w:ascii="宋体" w:hAnsi="宋体" w:eastAsia="宋体" w:cs="Times New Roman"/>
          <w:color w:val="auto"/>
          <w:sz w:val="24"/>
          <w:szCs w:val="24"/>
          <w:highlight w:val="none"/>
          <w:lang w:eastAsia="zh-CN"/>
        </w:rPr>
        <w:t>禁止进入区、监管区、开放区。</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eastAsia="宋体" w:cs="Times New Roman"/>
          <w:color w:val="auto"/>
          <w:sz w:val="24"/>
          <w:szCs w:val="24"/>
          <w:highlight w:val="none"/>
          <w:lang w:eastAsia="zh-CN"/>
        </w:rPr>
      </w:pPr>
      <w:r>
        <w:rPr>
          <w:rFonts w:hint="eastAsia" w:ascii="Times New Roman" w:hAnsi="Times New Roman" w:eastAsia="宋体" w:cs="Times New Roman"/>
          <w:b/>
          <w:bCs/>
          <w:color w:val="auto"/>
          <w:kern w:val="2"/>
          <w:sz w:val="24"/>
          <w:szCs w:val="24"/>
          <w:highlight w:val="none"/>
          <w:lang w:val="en-US" w:eastAsia="zh-CN" w:bidi="ar-SA"/>
        </w:rPr>
        <w:t>3.2.2</w:t>
      </w:r>
      <w:r>
        <w:rPr>
          <w:rFonts w:hint="eastAsia" w:ascii="宋体" w:hAnsi="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eastAsia="zh-CN"/>
        </w:rPr>
        <w:t>物业服务人员现场服务区域</w:t>
      </w:r>
      <w:r>
        <w:rPr>
          <w:rFonts w:hint="eastAsia" w:ascii="宋体" w:hAnsi="宋体" w:eastAsia="宋体" w:cs="Times New Roman"/>
          <w:color w:val="auto"/>
          <w:sz w:val="24"/>
          <w:szCs w:val="24"/>
          <w:highlight w:val="none"/>
          <w:lang w:val="en-US" w:eastAsia="zh-CN"/>
        </w:rPr>
        <w:t>应分为</w:t>
      </w:r>
      <w:r>
        <w:rPr>
          <w:rFonts w:hint="eastAsia" w:ascii="宋体" w:hAnsi="宋体" w:eastAsia="宋体" w:cs="Times New Roman"/>
          <w:color w:val="auto"/>
          <w:sz w:val="24"/>
          <w:szCs w:val="24"/>
          <w:highlight w:val="none"/>
          <w:lang w:eastAsia="zh-CN"/>
        </w:rPr>
        <w:t>禁止进入区、监管区、开放区：</w:t>
      </w:r>
    </w:p>
    <w:p>
      <w:pPr>
        <w:keepNext w:val="0"/>
        <w:keepLines w:val="0"/>
        <w:pageBreakBefore w:val="0"/>
        <w:widowControl w:val="0"/>
        <w:numPr>
          <w:ilvl w:val="0"/>
          <w:numId w:val="0"/>
        </w:numPr>
        <w:tabs>
          <w:tab w:val="left" w:pos="0"/>
        </w:tabs>
        <w:kinsoku/>
        <w:wordWrap w:val="0"/>
        <w:overflowPunct/>
        <w:topLinePunct/>
        <w:autoSpaceDE/>
        <w:autoSpaceDN/>
        <w:bidi w:val="0"/>
        <w:adjustRightInd/>
        <w:snapToGrid/>
        <w:spacing w:line="360" w:lineRule="auto"/>
        <w:ind w:left="0" w:leftChars="0" w:firstLine="480" w:firstLineChars="200"/>
        <w:jc w:val="left"/>
        <w:textAlignment w:val="auto"/>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 xml:space="preserve">1  </w:t>
      </w:r>
      <w:r>
        <w:rPr>
          <w:rFonts w:hint="eastAsia" w:ascii="宋体" w:hAnsi="宋体" w:eastAsia="宋体" w:cs="Times New Roman"/>
          <w:color w:val="auto"/>
          <w:sz w:val="24"/>
          <w:szCs w:val="24"/>
          <w:highlight w:val="none"/>
          <w:lang w:val="en-US" w:eastAsia="zh-CN"/>
        </w:rPr>
        <w:t>禁止进入区：主要包括调度中心控制室、供电设备安全警示以内范围、发电厂房内设备转动部位警示以内范围、划定的高度保密单位等区域禁止物业服务人员及外来人员进入，具体禁止进入范围由电力企业驻地单位确定</w:t>
      </w:r>
      <w:r>
        <w:rPr>
          <w:rFonts w:hint="eastAsia" w:ascii="宋体" w:hAnsi="宋体" w:cs="Times New Roman"/>
          <w:color w:val="auto"/>
          <w:sz w:val="24"/>
          <w:szCs w:val="24"/>
          <w:highlight w:val="none"/>
          <w:lang w:val="en-US" w:eastAsia="zh-CN"/>
        </w:rPr>
        <w:t>；</w:t>
      </w:r>
    </w:p>
    <w:p>
      <w:pPr>
        <w:keepNext w:val="0"/>
        <w:keepLines w:val="0"/>
        <w:pageBreakBefore w:val="0"/>
        <w:widowControl w:val="0"/>
        <w:numPr>
          <w:ilvl w:val="0"/>
          <w:numId w:val="0"/>
        </w:numPr>
        <w:tabs>
          <w:tab w:val="left" w:pos="0"/>
        </w:tabs>
        <w:kinsoku/>
        <w:wordWrap w:val="0"/>
        <w:overflowPunct/>
        <w:topLinePunct/>
        <w:autoSpaceDE/>
        <w:autoSpaceDN/>
        <w:bidi w:val="0"/>
        <w:adjustRightInd/>
        <w:snapToGrid/>
        <w:spacing w:line="360" w:lineRule="auto"/>
        <w:ind w:left="0" w:leftChars="0" w:firstLine="480" w:firstLineChars="200"/>
        <w:jc w:val="left"/>
        <w:textAlignment w:val="auto"/>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 xml:space="preserve">2  </w:t>
      </w:r>
      <w:r>
        <w:rPr>
          <w:rFonts w:hint="eastAsia" w:ascii="宋体" w:hAnsi="宋体" w:eastAsia="宋体" w:cs="Times New Roman"/>
          <w:color w:val="auto"/>
          <w:sz w:val="24"/>
          <w:szCs w:val="24"/>
          <w:highlight w:val="none"/>
          <w:lang w:val="en-US" w:eastAsia="zh-CN"/>
        </w:rPr>
        <w:t>监管区：主要有临近供电设备禁止区、安全警示范围的区域，或发电厂房内临近设备转动部位、警示范围等区域。监管区具体范围由电力企业驻地单位确定。监管区范围内物业服务人员及外来人员需要进入工作时，需要经过电力企业驻地单位办理工作许可手续，在有专人引领和落实监管下，方可进入的区域</w:t>
      </w:r>
      <w:r>
        <w:rPr>
          <w:rFonts w:hint="eastAsia" w:ascii="宋体" w:hAnsi="宋体" w:cs="Times New Roman"/>
          <w:color w:val="auto"/>
          <w:sz w:val="24"/>
          <w:szCs w:val="24"/>
          <w:highlight w:val="none"/>
          <w:lang w:val="en-US" w:eastAsia="zh-CN"/>
        </w:rPr>
        <w:t>；</w:t>
      </w:r>
    </w:p>
    <w:p>
      <w:pPr>
        <w:keepNext w:val="0"/>
        <w:keepLines w:val="0"/>
        <w:pageBreakBefore w:val="0"/>
        <w:widowControl w:val="0"/>
        <w:numPr>
          <w:ilvl w:val="0"/>
          <w:numId w:val="0"/>
        </w:numPr>
        <w:tabs>
          <w:tab w:val="left" w:pos="0"/>
        </w:tabs>
        <w:kinsoku/>
        <w:wordWrap w:val="0"/>
        <w:overflowPunct/>
        <w:topLinePunct/>
        <w:autoSpaceDE/>
        <w:autoSpaceDN/>
        <w:bidi w:val="0"/>
        <w:adjustRightInd/>
        <w:snapToGrid/>
        <w:spacing w:line="360" w:lineRule="auto"/>
        <w:ind w:left="0" w:leftChars="0" w:firstLine="480" w:firstLineChars="200"/>
        <w:jc w:val="left"/>
        <w:textAlignment w:val="auto"/>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 xml:space="preserve">3  </w:t>
      </w:r>
      <w:r>
        <w:rPr>
          <w:rFonts w:hint="eastAsia" w:ascii="宋体" w:hAnsi="宋体" w:eastAsia="宋体" w:cs="Times New Roman"/>
          <w:color w:val="auto"/>
          <w:sz w:val="24"/>
          <w:szCs w:val="24"/>
          <w:highlight w:val="none"/>
          <w:lang w:val="en-US" w:eastAsia="zh-CN"/>
        </w:rPr>
        <w:t>开放区：共用通道、共用区域（部位）、共用场所、厂房外围及园区道路、公共绿地、一般办公场地等。</w:t>
      </w:r>
    </w:p>
    <w:p>
      <w:pPr>
        <w:pStyle w:val="2"/>
        <w:keepNext w:val="0"/>
        <w:keepLines w:val="0"/>
        <w:pageBreakBefore/>
        <w:spacing w:line="240" w:lineRule="auto"/>
        <w:jc w:val="center"/>
        <w:rPr>
          <w:rFonts w:hint="eastAsia" w:ascii="Times New Roman" w:hAnsi="Times New Roman" w:eastAsia="宋体" w:cs="Times New Roman"/>
          <w:sz w:val="30"/>
          <w:highlight w:val="none"/>
          <w:lang w:val="en-US" w:eastAsia="zh-CN"/>
        </w:rPr>
      </w:pPr>
      <w:bookmarkStart w:id="37" w:name="_Toc15106"/>
      <w:r>
        <w:rPr>
          <w:rFonts w:hint="eastAsia" w:ascii="Times New Roman" w:hAnsi="Times New Roman" w:eastAsia="宋体" w:cs="Times New Roman"/>
          <w:sz w:val="30"/>
          <w:highlight w:val="none"/>
          <w:lang w:val="en-US" w:eastAsia="zh-CN"/>
        </w:rPr>
        <w:t xml:space="preserve">4 </w:t>
      </w:r>
      <w:r>
        <w:rPr>
          <w:rFonts w:hint="eastAsia" w:ascii="Times New Roman" w:hAnsi="Times New Roman" w:eastAsia="宋体" w:cs="Times New Roman"/>
          <w:b w:val="0"/>
          <w:bCs w:val="0"/>
          <w:sz w:val="30"/>
          <w:highlight w:val="none"/>
          <w:lang w:val="en-US" w:eastAsia="zh-CN"/>
        </w:rPr>
        <w:t>基</w:t>
      </w:r>
      <w:r>
        <w:rPr>
          <w:rFonts w:hint="eastAsia" w:cs="Times New Roman"/>
          <w:b w:val="0"/>
          <w:bCs w:val="0"/>
          <w:sz w:val="30"/>
          <w:highlight w:val="none"/>
          <w:lang w:val="en-US" w:eastAsia="zh-CN"/>
        </w:rPr>
        <w:t xml:space="preserve">  </w:t>
      </w:r>
      <w:r>
        <w:rPr>
          <w:rFonts w:hint="eastAsia" w:ascii="Times New Roman" w:hAnsi="Times New Roman" w:eastAsia="宋体" w:cs="Times New Roman"/>
          <w:b w:val="0"/>
          <w:bCs w:val="0"/>
          <w:sz w:val="30"/>
          <w:highlight w:val="none"/>
          <w:lang w:val="en-US" w:eastAsia="zh-CN"/>
        </w:rPr>
        <w:t>本</w:t>
      </w:r>
      <w:r>
        <w:rPr>
          <w:rFonts w:hint="eastAsia" w:cs="Times New Roman"/>
          <w:b w:val="0"/>
          <w:bCs w:val="0"/>
          <w:sz w:val="30"/>
          <w:highlight w:val="none"/>
          <w:lang w:val="en-US" w:eastAsia="zh-CN"/>
        </w:rPr>
        <w:t xml:space="preserve">  </w:t>
      </w:r>
      <w:r>
        <w:rPr>
          <w:rFonts w:hint="eastAsia" w:ascii="Times New Roman" w:hAnsi="Times New Roman" w:eastAsia="宋体" w:cs="Times New Roman"/>
          <w:b w:val="0"/>
          <w:bCs w:val="0"/>
          <w:sz w:val="30"/>
          <w:highlight w:val="none"/>
          <w:lang w:val="en-US" w:eastAsia="zh-CN"/>
        </w:rPr>
        <w:t>要</w:t>
      </w:r>
      <w:r>
        <w:rPr>
          <w:rFonts w:hint="eastAsia" w:cs="Times New Roman"/>
          <w:b w:val="0"/>
          <w:bCs w:val="0"/>
          <w:sz w:val="30"/>
          <w:highlight w:val="none"/>
          <w:lang w:val="en-US" w:eastAsia="zh-CN"/>
        </w:rPr>
        <w:t xml:space="preserve">  </w:t>
      </w:r>
      <w:r>
        <w:rPr>
          <w:rFonts w:hint="eastAsia" w:ascii="Times New Roman" w:hAnsi="Times New Roman" w:eastAsia="宋体" w:cs="Times New Roman"/>
          <w:b w:val="0"/>
          <w:bCs w:val="0"/>
          <w:sz w:val="30"/>
          <w:highlight w:val="none"/>
          <w:lang w:val="en-US" w:eastAsia="zh-CN"/>
        </w:rPr>
        <w:t>求</w:t>
      </w:r>
      <w:bookmarkEnd w:id="37"/>
      <w:bookmarkStart w:id="38" w:name="_Toc16432"/>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rPr>
      </w:pPr>
      <w:bookmarkStart w:id="39" w:name="_Toc22608"/>
      <w:r>
        <w:rPr>
          <w:rFonts w:hint="eastAsia" w:ascii="宋体" w:hAnsi="宋体" w:eastAsia="宋体" w:cs="宋体"/>
          <w:b/>
          <w:bCs/>
          <w:color w:val="auto"/>
          <w:sz w:val="24"/>
          <w:szCs w:val="24"/>
          <w:highlight w:val="none"/>
          <w:lang w:val="en-US" w:eastAsia="zh-CN"/>
        </w:rPr>
        <w:t>4.1  人员要求</w:t>
      </w:r>
      <w:bookmarkEnd w:id="38"/>
      <w:bookmarkEnd w:id="39"/>
    </w:p>
    <w:p>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hint="eastAsia" w:ascii="黑体" w:hAnsi="黑体" w:eastAsia="黑体" w:cs="黑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4</w:t>
      </w:r>
      <w:r>
        <w:rPr>
          <w:rFonts w:hint="default" w:ascii="Times New Roman" w:hAnsi="Times New Roman" w:eastAsia="黑体" w:cs="Times New Roman"/>
          <w:b/>
          <w:bCs/>
          <w:color w:val="auto"/>
          <w:sz w:val="24"/>
          <w:szCs w:val="24"/>
          <w:highlight w:val="none"/>
          <w:lang w:val="en-US" w:eastAsia="zh-CN"/>
        </w:rPr>
        <w:t>.1.1</w:t>
      </w:r>
      <w:r>
        <w:rPr>
          <w:rFonts w:hint="eastAsia" w:ascii="黑体" w:hAnsi="黑体" w:eastAsia="黑体" w:cs="黑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着装宜统一、仪容仪表整洁，应做到文明用语、耐心细致。</w:t>
      </w:r>
    </w:p>
    <w:p>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4.1.2 </w:t>
      </w:r>
      <w:r>
        <w:rPr>
          <w:rFonts w:hint="eastAsia" w:ascii="黑体" w:hAnsi="黑体" w:eastAsia="黑体" w:cs="黑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企业应定期组织与物业管理相关的法律法规、岗位知识、专业技能等培训。</w:t>
      </w:r>
    </w:p>
    <w:p>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2"/>
        <w:rPr>
          <w:rFonts w:hint="eastAsia" w:ascii="宋体" w:hAnsi="宋体" w:eastAsia="宋体" w:cs="宋体"/>
          <w:color w:val="auto"/>
          <w:sz w:val="24"/>
          <w:szCs w:val="24"/>
          <w:highlight w:val="none"/>
          <w:lang w:val="en-US" w:eastAsia="zh-CN"/>
        </w:rPr>
      </w:pPr>
      <w:bookmarkStart w:id="40" w:name="_Toc24920"/>
      <w:r>
        <w:rPr>
          <w:rFonts w:hint="eastAsia" w:ascii="Times New Roman" w:hAnsi="Times New Roman" w:eastAsia="黑体" w:cs="Times New Roman"/>
          <w:b/>
          <w:bCs/>
          <w:color w:val="auto"/>
          <w:sz w:val="24"/>
          <w:szCs w:val="24"/>
          <w:highlight w:val="none"/>
          <w:lang w:val="en-US" w:eastAsia="zh-CN"/>
        </w:rPr>
        <w:t>4.1.3</w:t>
      </w:r>
      <w:r>
        <w:rPr>
          <w:rFonts w:hint="eastAsia" w:ascii="黑体" w:hAnsi="黑体" w:eastAsia="黑体" w:cs="黑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对客户信息应做到保密不外</w:t>
      </w:r>
      <w:r>
        <w:rPr>
          <w:rFonts w:hint="eastAsia" w:ascii="宋体" w:hAnsi="宋体" w:cs="宋体"/>
          <w:color w:val="auto"/>
          <w:sz w:val="24"/>
          <w:szCs w:val="24"/>
          <w:highlight w:val="none"/>
          <w:lang w:val="en-US" w:eastAsia="zh-CN"/>
        </w:rPr>
        <w:t>泄</w:t>
      </w:r>
      <w:r>
        <w:rPr>
          <w:rFonts w:hint="eastAsia" w:ascii="宋体" w:hAnsi="宋体" w:eastAsia="宋体" w:cs="宋体"/>
          <w:color w:val="auto"/>
          <w:sz w:val="24"/>
          <w:szCs w:val="24"/>
          <w:highlight w:val="none"/>
          <w:lang w:val="en-US" w:eastAsia="zh-CN"/>
        </w:rPr>
        <w:t>。</w:t>
      </w:r>
      <w:bookmarkEnd w:id="40"/>
    </w:p>
    <w:p>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4</w:t>
      </w:r>
      <w:r>
        <w:rPr>
          <w:rFonts w:hint="default" w:ascii="Times New Roman" w:hAnsi="Times New Roman" w:eastAsia="黑体" w:cs="Times New Roman"/>
          <w:b/>
          <w:bCs/>
          <w:color w:val="auto"/>
          <w:sz w:val="24"/>
          <w:szCs w:val="24"/>
          <w:highlight w:val="none"/>
          <w:lang w:val="en-US" w:eastAsia="zh-CN"/>
        </w:rPr>
        <w:t>.1.4</w:t>
      </w:r>
      <w:r>
        <w:rPr>
          <w:rFonts w:hint="eastAsia" w:ascii="黑体" w:hAnsi="黑体" w:eastAsia="黑体" w:cs="黑体"/>
          <w:color w:val="auto"/>
          <w:sz w:val="24"/>
          <w:szCs w:val="24"/>
          <w:highlight w:val="none"/>
          <w:lang w:val="en-US" w:eastAsia="zh-CN"/>
        </w:rPr>
        <w:t xml:space="preserve">  </w:t>
      </w:r>
      <w:r>
        <w:rPr>
          <w:rFonts w:hint="eastAsia"/>
          <w:color w:val="auto"/>
          <w:sz w:val="24"/>
          <w:szCs w:val="24"/>
          <w:highlight w:val="none"/>
        </w:rPr>
        <w:t>对新入职的安保人员须</w:t>
      </w:r>
      <w:r>
        <w:rPr>
          <w:rFonts w:hint="eastAsia"/>
          <w:color w:val="auto"/>
          <w:sz w:val="24"/>
          <w:szCs w:val="24"/>
          <w:highlight w:val="none"/>
          <w:lang w:val="en-US" w:eastAsia="zh-CN"/>
        </w:rPr>
        <w:t>进行</w:t>
      </w:r>
      <w:r>
        <w:rPr>
          <w:rFonts w:hint="eastAsia"/>
          <w:color w:val="auto"/>
          <w:sz w:val="24"/>
          <w:szCs w:val="24"/>
          <w:highlight w:val="none"/>
        </w:rPr>
        <w:t>背景审查，定期对从事相关人员进行安全背景审查，防止可疑人员上岗</w:t>
      </w:r>
      <w:r>
        <w:rPr>
          <w:rFonts w:hint="eastAsia"/>
          <w:color w:val="auto"/>
          <w:sz w:val="24"/>
          <w:szCs w:val="24"/>
          <w:highlight w:val="none"/>
          <w:lang w:eastAsia="zh-CN"/>
        </w:rPr>
        <w:t>，</w:t>
      </w:r>
      <w:r>
        <w:rPr>
          <w:rFonts w:hint="eastAsia"/>
          <w:color w:val="auto"/>
          <w:sz w:val="24"/>
          <w:szCs w:val="24"/>
          <w:highlight w:val="none"/>
          <w:lang w:val="en-US" w:eastAsia="zh-CN"/>
        </w:rPr>
        <w:t>包括</w:t>
      </w:r>
      <w:r>
        <w:rPr>
          <w:rFonts w:hint="eastAsia" w:ascii="宋体" w:hAnsi="宋体" w:eastAsia="宋体" w:cs="宋体"/>
          <w:color w:val="auto"/>
          <w:sz w:val="24"/>
          <w:szCs w:val="24"/>
          <w:highlight w:val="none"/>
          <w:lang w:val="en-US" w:eastAsia="zh-CN"/>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val="en-US" w:eastAsia="zh-CN"/>
        </w:rPr>
        <w:t>治安防恐重要岗位人员；</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lang w:val="en-US" w:eastAsia="zh-CN"/>
        </w:rPr>
        <w:t>防恐重点目标区域内工作的人员；</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lang w:val="en-US" w:eastAsia="zh-CN"/>
        </w:rPr>
        <w:t>接触重要信息数据人员。</w:t>
      </w:r>
    </w:p>
    <w:p>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4.1.5</w:t>
      </w:r>
      <w:r>
        <w:rPr>
          <w:rFonts w:hint="eastAsia" w:ascii="黑体" w:hAnsi="黑体" w:eastAsia="黑体" w:cs="黑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保安人员须持有公安部门核发有效的《保安员</w:t>
      </w:r>
      <w:r>
        <w:rPr>
          <w:rFonts w:hint="eastAsia" w:ascii="宋体" w:hAnsi="宋体" w:eastAsia="宋体" w:cs="宋体"/>
          <w:color w:val="auto"/>
          <w:sz w:val="24"/>
          <w:szCs w:val="24"/>
          <w:highlight w:val="none"/>
          <w:lang w:val="en-US" w:eastAsia="zh-CN"/>
        </w:rPr>
        <w:t>上岗</w:t>
      </w:r>
      <w:r>
        <w:rPr>
          <w:rFonts w:hint="eastAsia" w:ascii="宋体" w:hAnsi="宋体" w:eastAsia="宋体" w:cs="宋体"/>
          <w:color w:val="auto"/>
          <w:sz w:val="24"/>
          <w:szCs w:val="24"/>
          <w:highlight w:val="none"/>
          <w:lang w:val="zh-CN" w:eastAsia="zh-CN"/>
        </w:rPr>
        <w:t>证》。</w:t>
      </w:r>
    </w:p>
    <w:p>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2"/>
        <w:rPr>
          <w:rFonts w:hint="eastAsia" w:ascii="黑体" w:hAnsi="黑体" w:eastAsia="黑体" w:cs="黑体"/>
          <w:color w:val="auto"/>
          <w:sz w:val="24"/>
          <w:szCs w:val="24"/>
          <w:highlight w:val="none"/>
          <w:lang w:val="en-US" w:eastAsia="zh-CN"/>
        </w:rPr>
      </w:pPr>
      <w:bookmarkStart w:id="41" w:name="_Toc28825"/>
      <w:r>
        <w:rPr>
          <w:rFonts w:hint="eastAsia" w:ascii="Times New Roman" w:hAnsi="Times New Roman" w:eastAsia="黑体" w:cs="Times New Roman"/>
          <w:b/>
          <w:bCs/>
          <w:color w:val="auto"/>
          <w:sz w:val="24"/>
          <w:szCs w:val="24"/>
          <w:highlight w:val="none"/>
          <w:lang w:val="en-US" w:eastAsia="zh-CN"/>
        </w:rPr>
        <w:t>4.1.6</w:t>
      </w:r>
      <w:r>
        <w:rPr>
          <w:rFonts w:hint="eastAsia" w:ascii="黑体" w:hAnsi="黑体" w:eastAsia="黑体" w:cs="黑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工程特种作业员工应按国家法规要求持证上岗</w:t>
      </w:r>
      <w:bookmarkEnd w:id="41"/>
      <w:r>
        <w:rPr>
          <w:rFonts w:hint="eastAsia" w:ascii="宋体" w:hAnsi="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4.1.7 </w:t>
      </w:r>
      <w:r>
        <w:rPr>
          <w:rFonts w:hint="eastAsia" w:ascii="黑体" w:hAnsi="黑体" w:eastAsia="黑体" w:cs="黑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在道路交通周边维修以及相关风险作业时，员工应穿反光衣并在附近设置警示标识。</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42" w:name="_Toc7220"/>
      <w:r>
        <w:rPr>
          <w:rFonts w:hint="eastAsia" w:ascii="宋体" w:hAnsi="宋体" w:eastAsia="宋体" w:cs="宋体"/>
          <w:b/>
          <w:bCs/>
          <w:color w:val="auto"/>
          <w:sz w:val="24"/>
          <w:szCs w:val="24"/>
          <w:highlight w:val="none"/>
          <w:lang w:val="en-US" w:eastAsia="zh-CN"/>
        </w:rPr>
        <w:t>4.2  财务管理</w:t>
      </w:r>
      <w:bookmarkEnd w:id="42"/>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4.2.1</w:t>
      </w:r>
      <w:r>
        <w:rPr>
          <w:rFonts w:hint="eastAsia" w:ascii="宋体" w:hAnsi="宋体" w:eastAsia="宋体" w:cs="宋体"/>
          <w:color w:val="auto"/>
          <w:sz w:val="24"/>
          <w:szCs w:val="24"/>
          <w:highlight w:val="none"/>
          <w:lang w:val="en-US" w:eastAsia="zh-CN"/>
        </w:rPr>
        <w:t xml:space="preserve">  有健全完善的财务管理制度，对各类收入做到账目清晰、规范操作。</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4.2.2 </w:t>
      </w:r>
      <w:r>
        <w:rPr>
          <w:rFonts w:hint="eastAsia" w:ascii="宋体" w:hAnsi="宋体" w:eastAsia="宋体" w:cs="宋体"/>
          <w:color w:val="auto"/>
          <w:sz w:val="24"/>
          <w:szCs w:val="24"/>
          <w:highlight w:val="none"/>
          <w:lang w:val="en-US" w:eastAsia="zh-CN"/>
        </w:rPr>
        <w:t xml:space="preserve"> 有明确的收付流程、标准、时间、方式；使用专业的财务系统进行收缴核算。</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auto"/>
          <w:sz w:val="24"/>
          <w:szCs w:val="24"/>
          <w:highlight w:val="none"/>
          <w:lang w:val="en-US" w:eastAsia="zh-CN"/>
        </w:rPr>
      </w:pPr>
      <w:bookmarkStart w:id="43" w:name="_Toc17402"/>
      <w:r>
        <w:rPr>
          <w:rFonts w:hint="eastAsia" w:ascii="Times New Roman" w:hAnsi="Times New Roman" w:eastAsia="黑体" w:cs="Times New Roman"/>
          <w:b/>
          <w:bCs/>
          <w:color w:val="auto"/>
          <w:sz w:val="24"/>
          <w:szCs w:val="24"/>
          <w:highlight w:val="none"/>
          <w:lang w:val="en-US" w:eastAsia="zh-CN"/>
        </w:rPr>
        <w:t>4.2.3</w:t>
      </w:r>
      <w:r>
        <w:rPr>
          <w:rFonts w:hint="eastAsia" w:ascii="宋体" w:hAnsi="宋体" w:eastAsia="宋体" w:cs="宋体"/>
          <w:color w:val="auto"/>
          <w:sz w:val="24"/>
          <w:szCs w:val="24"/>
          <w:highlight w:val="none"/>
          <w:lang w:val="en-US" w:eastAsia="zh-CN"/>
        </w:rPr>
        <w:t xml:space="preserve">  按国家法规，开具合法的发票或收据。</w:t>
      </w:r>
      <w:bookmarkEnd w:id="43"/>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4.2.4 </w:t>
      </w:r>
      <w:r>
        <w:rPr>
          <w:rFonts w:hint="eastAsia" w:ascii="宋体" w:hAnsi="宋体" w:eastAsia="宋体" w:cs="宋体"/>
          <w:color w:val="auto"/>
          <w:sz w:val="24"/>
          <w:szCs w:val="24"/>
          <w:highlight w:val="none"/>
          <w:lang w:val="en-US" w:eastAsia="zh-CN"/>
        </w:rPr>
        <w:t xml:space="preserve"> 编制年度财务预算，做到定期统计、分析，及时发现异常情况并作出纠正调整。</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44" w:name="_Toc26838"/>
      <w:r>
        <w:rPr>
          <w:rFonts w:hint="eastAsia" w:ascii="宋体" w:hAnsi="宋体" w:eastAsia="宋体" w:cs="宋体"/>
          <w:b/>
          <w:bCs/>
          <w:color w:val="auto"/>
          <w:sz w:val="24"/>
          <w:szCs w:val="24"/>
          <w:highlight w:val="none"/>
          <w:lang w:val="en-US" w:eastAsia="zh-CN"/>
        </w:rPr>
        <w:t>4.3  档案管理</w:t>
      </w:r>
      <w:bookmarkEnd w:id="44"/>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auto"/>
          <w:sz w:val="24"/>
          <w:szCs w:val="24"/>
          <w:highlight w:val="none"/>
          <w:lang w:val="en-US" w:eastAsia="zh-CN"/>
        </w:rPr>
      </w:pPr>
      <w:bookmarkStart w:id="45" w:name="_Toc4586"/>
      <w:r>
        <w:rPr>
          <w:rFonts w:hint="eastAsia" w:ascii="Times New Roman" w:hAnsi="Times New Roman" w:eastAsia="黑体" w:cs="Times New Roman"/>
          <w:b/>
          <w:bCs/>
          <w:color w:val="auto"/>
          <w:sz w:val="24"/>
          <w:szCs w:val="24"/>
          <w:highlight w:val="none"/>
          <w:lang w:val="en-US" w:eastAsia="zh-CN"/>
        </w:rPr>
        <w:t>4.3.1</w:t>
      </w:r>
      <w:r>
        <w:rPr>
          <w:rFonts w:hint="eastAsia" w:ascii="宋体" w:hAnsi="宋体" w:eastAsia="宋体" w:cs="宋体"/>
          <w:color w:val="auto"/>
          <w:sz w:val="24"/>
          <w:szCs w:val="24"/>
          <w:highlight w:val="none"/>
          <w:lang w:val="en-US" w:eastAsia="zh-CN"/>
        </w:rPr>
        <w:t xml:space="preserve">  建立档案管理制度。</w:t>
      </w:r>
      <w:bookmarkEnd w:id="45"/>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4.3.2</w:t>
      </w:r>
      <w:r>
        <w:rPr>
          <w:rFonts w:hint="eastAsia" w:ascii="宋体" w:hAnsi="宋体" w:eastAsia="宋体" w:cs="宋体"/>
          <w:color w:val="auto"/>
          <w:sz w:val="24"/>
          <w:szCs w:val="24"/>
          <w:highlight w:val="none"/>
          <w:lang w:val="en-US" w:eastAsia="zh-CN"/>
        </w:rPr>
        <w:t xml:space="preserve">  应</w:t>
      </w:r>
      <w:r>
        <w:rPr>
          <w:rFonts w:hint="eastAsia" w:ascii="宋体" w:hAnsi="宋体" w:cs="宋体"/>
          <w:color w:val="auto"/>
          <w:sz w:val="24"/>
          <w:szCs w:val="24"/>
          <w:highlight w:val="none"/>
          <w:lang w:val="en-US" w:eastAsia="zh-CN"/>
        </w:rPr>
        <w:t>符合现行地方标准《物业服务 档案管理规范》</w:t>
      </w:r>
      <w:r>
        <w:rPr>
          <w:rFonts w:hint="eastAsia" w:ascii="宋体" w:hAnsi="宋体" w:eastAsia="宋体" w:cs="宋体"/>
          <w:color w:val="auto"/>
          <w:sz w:val="24"/>
          <w:szCs w:val="24"/>
          <w:highlight w:val="none"/>
          <w:lang w:val="en-US" w:eastAsia="zh-CN"/>
        </w:rPr>
        <w:t>DB44/T 1315的</w:t>
      </w:r>
      <w:r>
        <w:rPr>
          <w:rFonts w:hint="eastAsia" w:ascii="宋体" w:hAnsi="宋体" w:cs="宋体"/>
          <w:color w:val="auto"/>
          <w:sz w:val="24"/>
          <w:szCs w:val="24"/>
          <w:highlight w:val="none"/>
          <w:lang w:val="en-US" w:eastAsia="zh-CN"/>
        </w:rPr>
        <w:t>相关规定</w:t>
      </w:r>
      <w:r>
        <w:rPr>
          <w:rFonts w:hint="eastAsia" w:ascii="宋体" w:hAnsi="宋体" w:eastAsia="宋体" w:cs="宋体"/>
          <w:color w:val="auto"/>
          <w:sz w:val="24"/>
          <w:szCs w:val="24"/>
          <w:highlight w:val="none"/>
          <w:lang w:val="en-US" w:eastAsia="zh-CN"/>
        </w:rPr>
        <w:t>，配备专职（兼职）档案资料管理员。</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4.3.3</w:t>
      </w:r>
      <w:r>
        <w:rPr>
          <w:rFonts w:hint="eastAsia" w:ascii="宋体" w:hAnsi="宋体" w:eastAsia="宋体" w:cs="宋体"/>
          <w:color w:val="auto"/>
          <w:sz w:val="24"/>
          <w:szCs w:val="24"/>
          <w:highlight w:val="none"/>
          <w:lang w:val="en-US" w:eastAsia="zh-CN"/>
        </w:rPr>
        <w:t xml:space="preserve">  物业档案应该实行电子档案和纸质档案，主要内容应包括但不限于：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2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val="zh-CN" w:eastAsia="zh-CN"/>
        </w:rPr>
        <w:t>日常管理档案；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2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lang w:val="zh-CN" w:eastAsia="zh-CN"/>
        </w:rPr>
        <w:t>顾客资料档案；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2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lang w:val="zh-CN" w:eastAsia="zh-CN"/>
        </w:rPr>
        <w:t>合同管理档案；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2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lang w:val="zh-CN" w:eastAsia="zh-CN"/>
        </w:rPr>
        <w:t>设备管理档案；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2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lang w:val="zh-CN" w:eastAsia="zh-CN"/>
        </w:rPr>
        <w:t>物业及其配套设施权属清册；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2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6  </w:t>
      </w:r>
      <w:r>
        <w:rPr>
          <w:rFonts w:hint="eastAsia" w:ascii="宋体" w:hAnsi="宋体" w:eastAsia="宋体" w:cs="宋体"/>
          <w:color w:val="auto"/>
          <w:sz w:val="24"/>
          <w:szCs w:val="24"/>
          <w:highlight w:val="none"/>
          <w:lang w:val="zh-CN" w:eastAsia="zh-CN"/>
        </w:rPr>
        <w:t>物业竣工验收档案。</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46" w:name="_Toc19239"/>
      <w:r>
        <w:rPr>
          <w:rFonts w:hint="eastAsia" w:ascii="宋体" w:hAnsi="宋体" w:eastAsia="宋体" w:cs="宋体"/>
          <w:b/>
          <w:bCs/>
          <w:color w:val="auto"/>
          <w:sz w:val="24"/>
          <w:szCs w:val="24"/>
          <w:highlight w:val="none"/>
          <w:lang w:val="en-US" w:eastAsia="zh-CN"/>
        </w:rPr>
        <w:t>4.4  保密管理</w:t>
      </w:r>
      <w:bookmarkEnd w:id="46"/>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default" w:ascii="宋体" w:hAnsi="宋体" w:eastAsia="宋体" w:cs="宋体"/>
          <w:color w:val="auto"/>
          <w:sz w:val="24"/>
          <w:szCs w:val="24"/>
          <w:highlight w:val="none"/>
          <w:lang w:val="en-US" w:eastAsia="zh-CN"/>
        </w:rPr>
      </w:pPr>
      <w:bookmarkStart w:id="47" w:name="_Toc20408"/>
      <w:r>
        <w:rPr>
          <w:rFonts w:hint="eastAsia" w:ascii="Times New Roman" w:hAnsi="Times New Roman" w:eastAsia="黑体" w:cs="Times New Roman"/>
          <w:b/>
          <w:bCs/>
          <w:color w:val="auto"/>
          <w:sz w:val="24"/>
          <w:szCs w:val="24"/>
          <w:highlight w:val="none"/>
          <w:lang w:val="en-US" w:eastAsia="zh-CN"/>
        </w:rPr>
        <w:t>4.4.1</w:t>
      </w:r>
      <w:r>
        <w:rPr>
          <w:rFonts w:hint="eastAsia" w:ascii="宋体" w:hAnsi="宋体" w:eastAsia="宋体" w:cs="宋体"/>
          <w:color w:val="auto"/>
          <w:sz w:val="24"/>
          <w:szCs w:val="24"/>
          <w:highlight w:val="none"/>
          <w:lang w:val="en-US" w:eastAsia="zh-CN"/>
        </w:rPr>
        <w:t xml:space="preserve">  应建立保密管理制度，应该包括但不限于以下内容：</w:t>
      </w:r>
      <w:bookmarkEnd w:id="4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须与物业相关服务员工及供应商签署保密协议；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  设定保密管理范围及主要对象；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定期对员工开展保密教育培训等。</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48" w:name="_Toc2073"/>
      <w:r>
        <w:rPr>
          <w:rFonts w:hint="eastAsia" w:ascii="宋体" w:hAnsi="宋体" w:eastAsia="宋体" w:cs="宋体"/>
          <w:b/>
          <w:bCs/>
          <w:color w:val="auto"/>
          <w:sz w:val="24"/>
          <w:szCs w:val="24"/>
          <w:highlight w:val="none"/>
          <w:lang w:val="en-US" w:eastAsia="zh-CN"/>
        </w:rPr>
        <w:t>4.5  标识管理</w:t>
      </w:r>
      <w:bookmarkEnd w:id="48"/>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4.5.1</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zh-CN" w:eastAsia="zh-CN"/>
        </w:rPr>
        <w:t>标识的图形符号应符合</w:t>
      </w:r>
      <w:r>
        <w:rPr>
          <w:rFonts w:hint="eastAsia" w:ascii="宋体" w:hAnsi="宋体" w:cs="宋体"/>
          <w:color w:val="auto"/>
          <w:sz w:val="24"/>
          <w:szCs w:val="24"/>
          <w:highlight w:val="none"/>
          <w:lang w:val="en-US" w:eastAsia="zh-CN"/>
        </w:rPr>
        <w:t>现行国家标准</w:t>
      </w:r>
      <w:r>
        <w:rPr>
          <w:rFonts w:hint="default" w:ascii="宋体" w:hAnsi="宋体" w:eastAsia="宋体" w:cs="宋体"/>
          <w:color w:val="auto"/>
          <w:sz w:val="24"/>
          <w:szCs w:val="24"/>
          <w:highlight w:val="none"/>
          <w:lang w:val="zh-CN" w:eastAsia="zh-CN"/>
        </w:rPr>
        <w:t>《公共信息图形符号 第1部分：通用符号》</w:t>
      </w:r>
      <w:r>
        <w:rPr>
          <w:rFonts w:hint="default" w:ascii="宋体" w:hAnsi="宋体" w:eastAsia="宋体" w:cs="宋体"/>
          <w:color w:val="auto"/>
          <w:sz w:val="24"/>
          <w:szCs w:val="24"/>
          <w:highlight w:val="none"/>
          <w:lang w:val="en-US" w:eastAsia="zh-CN"/>
        </w:rPr>
        <w:t>GB/T 10001.1</w:t>
      </w:r>
      <w:r>
        <w:rPr>
          <w:rFonts w:hint="eastAsia" w:ascii="宋体" w:hAnsi="宋体" w:cs="宋体"/>
          <w:color w:val="auto"/>
          <w:sz w:val="24"/>
          <w:szCs w:val="24"/>
          <w:highlight w:val="none"/>
          <w:lang w:val="en-US" w:eastAsia="zh-CN"/>
        </w:rPr>
        <w:t>的相关规定，</w:t>
      </w:r>
      <w:r>
        <w:rPr>
          <w:rFonts w:hint="default" w:ascii="宋体" w:hAnsi="宋体" w:eastAsia="宋体" w:cs="宋体"/>
          <w:color w:val="auto"/>
          <w:sz w:val="24"/>
          <w:szCs w:val="24"/>
          <w:highlight w:val="none"/>
          <w:lang w:val="zh-CN" w:eastAsia="zh-CN"/>
        </w:rPr>
        <w:t>消防与安全标识应符合</w:t>
      </w:r>
      <w:r>
        <w:rPr>
          <w:rFonts w:hint="eastAsia" w:ascii="宋体" w:hAnsi="宋体" w:cs="宋体"/>
          <w:color w:val="auto"/>
          <w:sz w:val="24"/>
          <w:szCs w:val="24"/>
          <w:highlight w:val="none"/>
          <w:lang w:val="en-US" w:eastAsia="zh-CN"/>
        </w:rPr>
        <w:t>现行国家标准</w:t>
      </w:r>
      <w:r>
        <w:rPr>
          <w:rFonts w:hint="eastAsia" w:ascii="宋体" w:hAnsi="宋体" w:eastAsia="宋体" w:cs="宋体"/>
          <w:color w:val="auto"/>
          <w:sz w:val="24"/>
          <w:szCs w:val="24"/>
          <w:highlight w:val="none"/>
          <w:lang w:val="zh-CN" w:eastAsia="zh-CN"/>
        </w:rPr>
        <w:t>《安全标志及其使用导则》</w:t>
      </w:r>
      <w:r>
        <w:rPr>
          <w:rFonts w:hint="default" w:ascii="宋体" w:hAnsi="宋体" w:eastAsia="宋体" w:cs="宋体"/>
          <w:color w:val="auto"/>
          <w:sz w:val="24"/>
          <w:szCs w:val="24"/>
          <w:highlight w:val="none"/>
          <w:lang w:val="en-US" w:eastAsia="zh-CN"/>
        </w:rPr>
        <w:t>GB 2894、</w:t>
      </w:r>
      <w:r>
        <w:rPr>
          <w:rFonts w:hint="eastAsia" w:ascii="宋体" w:hAnsi="宋体" w:eastAsia="宋体" w:cs="宋体"/>
          <w:color w:val="auto"/>
          <w:sz w:val="24"/>
          <w:szCs w:val="24"/>
          <w:highlight w:val="none"/>
          <w:lang w:val="en-US" w:eastAsia="zh-CN"/>
        </w:rPr>
        <w:t>《消防安全标志  第1部分：标志》</w:t>
      </w:r>
      <w:r>
        <w:rPr>
          <w:rFonts w:hint="default" w:ascii="宋体" w:hAnsi="宋体" w:eastAsia="宋体" w:cs="宋体"/>
          <w:color w:val="auto"/>
          <w:sz w:val="24"/>
          <w:szCs w:val="24"/>
          <w:highlight w:val="none"/>
          <w:lang w:val="en-US" w:eastAsia="zh-CN"/>
        </w:rPr>
        <w:t>GB 13495.1</w:t>
      </w:r>
      <w:r>
        <w:rPr>
          <w:rFonts w:hint="eastAsia" w:ascii="宋体" w:hAnsi="宋体" w:eastAsia="宋体" w:cs="宋体"/>
          <w:color w:val="auto"/>
          <w:sz w:val="24"/>
          <w:szCs w:val="24"/>
          <w:highlight w:val="none"/>
          <w:lang w:val="en-US" w:eastAsia="zh-CN"/>
        </w:rPr>
        <w:t>、《消防安全标志设置要求》GB 15630的规定的标识标牌。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4.5.2</w:t>
      </w:r>
      <w:r>
        <w:rPr>
          <w:rFonts w:hint="eastAsia" w:ascii="宋体" w:hAnsi="宋体" w:eastAsia="宋体" w:cs="宋体"/>
          <w:color w:val="auto"/>
          <w:sz w:val="24"/>
          <w:szCs w:val="24"/>
          <w:highlight w:val="none"/>
          <w:lang w:val="en-US" w:eastAsia="zh-CN"/>
        </w:rPr>
        <w:t xml:space="preserve">  结合作业现场情况的需要，在显眼位置设作业中的临时性安全警示标识。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4.5.3</w:t>
      </w:r>
      <w:r>
        <w:rPr>
          <w:rFonts w:hint="eastAsia" w:ascii="宋体" w:hAnsi="宋体" w:eastAsia="宋体" w:cs="宋体"/>
          <w:color w:val="auto"/>
          <w:sz w:val="24"/>
          <w:szCs w:val="24"/>
          <w:highlight w:val="none"/>
          <w:lang w:val="en-US" w:eastAsia="zh-CN"/>
        </w:rPr>
        <w:t xml:space="preserve">  定期对各类标识标牌进行检查、维护、清洁，确保安全牢固无损坏。</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both"/>
        <w:textAlignment w:val="auto"/>
        <w:rPr>
          <w:rFonts w:hint="eastAsia" w:ascii="黑体" w:hAnsi="黑体" w:eastAsia="黑体" w:cs="黑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jc w:val="both"/>
        <w:textAlignment w:val="auto"/>
        <w:rPr>
          <w:rFonts w:hint="eastAsia" w:ascii="黑体" w:hAnsi="黑体" w:eastAsia="黑体" w:cs="黑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jc w:val="both"/>
        <w:textAlignment w:val="auto"/>
        <w:rPr>
          <w:rFonts w:hint="eastAsia" w:ascii="黑体" w:hAnsi="黑体" w:eastAsia="黑体" w:cs="黑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jc w:val="both"/>
        <w:textAlignment w:val="auto"/>
        <w:rPr>
          <w:rFonts w:hint="eastAsia" w:ascii="黑体" w:hAnsi="黑体" w:eastAsia="黑体" w:cs="黑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jc w:val="both"/>
        <w:textAlignment w:val="auto"/>
        <w:rPr>
          <w:rFonts w:hint="eastAsia" w:ascii="黑体" w:hAnsi="黑体" w:eastAsia="黑体" w:cs="黑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jc w:val="both"/>
        <w:textAlignment w:val="auto"/>
        <w:rPr>
          <w:rFonts w:hint="eastAsia" w:ascii="黑体" w:hAnsi="黑体" w:eastAsia="黑体" w:cs="黑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jc w:val="both"/>
        <w:textAlignment w:val="auto"/>
        <w:rPr>
          <w:rFonts w:hint="eastAsia" w:ascii="黑体" w:hAnsi="黑体" w:eastAsia="黑体" w:cs="黑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jc w:val="both"/>
        <w:textAlignment w:val="auto"/>
        <w:rPr>
          <w:rFonts w:hint="eastAsia" w:ascii="黑体" w:hAnsi="黑体" w:eastAsia="黑体" w:cs="黑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jc w:val="both"/>
        <w:textAlignment w:val="auto"/>
        <w:rPr>
          <w:rFonts w:hint="eastAsia" w:ascii="黑体" w:hAnsi="黑体" w:eastAsia="黑体" w:cs="黑体"/>
          <w:color w:val="auto"/>
          <w:highlight w:val="none"/>
          <w:lang w:val="en-US" w:eastAsia="zh-CN"/>
        </w:rPr>
      </w:pPr>
    </w:p>
    <w:p>
      <w:pPr>
        <w:pStyle w:val="2"/>
        <w:keepNext w:val="0"/>
        <w:keepLines w:val="0"/>
        <w:pageBreakBefore/>
        <w:spacing w:line="240" w:lineRule="auto"/>
        <w:jc w:val="center"/>
        <w:rPr>
          <w:rFonts w:hint="eastAsia" w:ascii="Times New Roman" w:hAnsi="Times New Roman" w:eastAsia="宋体" w:cs="Times New Roman"/>
          <w:sz w:val="30"/>
          <w:highlight w:val="none"/>
          <w:lang w:val="en-US" w:eastAsia="zh-CN"/>
        </w:rPr>
      </w:pPr>
      <w:bookmarkStart w:id="49" w:name="_Toc18408"/>
      <w:r>
        <w:rPr>
          <w:rFonts w:hint="eastAsia" w:ascii="Times New Roman" w:hAnsi="Times New Roman" w:eastAsia="宋体" w:cs="Times New Roman"/>
          <w:sz w:val="30"/>
          <w:highlight w:val="none"/>
          <w:lang w:val="en-US" w:eastAsia="zh-CN"/>
        </w:rPr>
        <w:t xml:space="preserve">5 </w:t>
      </w:r>
      <w:r>
        <w:rPr>
          <w:rFonts w:hint="eastAsia" w:ascii="Times New Roman" w:hAnsi="Times New Roman" w:eastAsia="宋体" w:cs="Times New Roman"/>
          <w:b w:val="0"/>
          <w:bCs w:val="0"/>
          <w:sz w:val="30"/>
          <w:highlight w:val="none"/>
          <w:lang w:val="en-US" w:eastAsia="zh-CN"/>
        </w:rPr>
        <w:t>电力生产场所作业安全管理要求</w:t>
      </w:r>
      <w:bookmarkEnd w:id="49"/>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5</w:t>
      </w:r>
      <w:r>
        <w:rPr>
          <w:rFonts w:hint="default" w:ascii="Times New Roman" w:hAnsi="Times New Roman" w:eastAsia="宋体" w:cs="Times New Roman"/>
          <w:b/>
          <w:bCs/>
          <w:color w:val="auto"/>
          <w:sz w:val="24"/>
          <w:szCs w:val="24"/>
          <w:highlight w:val="none"/>
          <w:lang w:val="en-US" w:eastAsia="zh-CN"/>
        </w:rPr>
        <w:t>.</w:t>
      </w:r>
      <w:r>
        <w:rPr>
          <w:rFonts w:hint="eastAsia" w:ascii="Times New Roman" w:hAnsi="Times New Roman" w:eastAsia="宋体" w:cs="Times New Roman"/>
          <w:b/>
          <w:bCs/>
          <w:color w:val="auto"/>
          <w:sz w:val="24"/>
          <w:szCs w:val="24"/>
          <w:highlight w:val="none"/>
          <w:lang w:val="en-US" w:eastAsia="zh-CN"/>
        </w:rPr>
        <w:t>0.</w:t>
      </w:r>
      <w:r>
        <w:rPr>
          <w:rFonts w:hint="default" w:ascii="Times New Roman" w:hAnsi="Times New Roman" w:eastAsia="宋体" w:cs="Times New Roman"/>
          <w:b/>
          <w:bCs/>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  涉及电力生产场所的物业服务项目，应设立安全监督人员，安全监督人员经电力安全工作培训并考试合格和持有“特种作业人员证书”同时严格</w:t>
      </w:r>
      <w:r>
        <w:rPr>
          <w:rFonts w:hint="eastAsia" w:ascii="宋体" w:hAnsi="宋体" w:cs="宋体"/>
          <w:color w:val="auto"/>
          <w:sz w:val="24"/>
          <w:szCs w:val="24"/>
          <w:highlight w:val="none"/>
          <w:lang w:val="en-US" w:eastAsia="zh-CN"/>
        </w:rPr>
        <w:t>应符合现行地方标准《电力安全工作规程 发电厂和变电站电气部分》</w:t>
      </w:r>
      <w:r>
        <w:rPr>
          <w:rFonts w:hint="eastAsia" w:ascii="宋体" w:hAnsi="宋体" w:eastAsia="宋体" w:cs="宋体"/>
          <w:color w:val="auto"/>
          <w:sz w:val="24"/>
          <w:szCs w:val="24"/>
          <w:highlight w:val="none"/>
          <w:lang w:val="en-US" w:eastAsia="zh-CN"/>
        </w:rPr>
        <w:t>GB26860—2011</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相关</w:t>
      </w:r>
      <w:r>
        <w:rPr>
          <w:rFonts w:hint="eastAsia" w:ascii="宋体" w:hAnsi="宋体" w:cs="宋体"/>
          <w:color w:val="auto"/>
          <w:sz w:val="24"/>
          <w:szCs w:val="24"/>
          <w:highlight w:val="none"/>
          <w:lang w:val="en-US" w:eastAsia="zh-CN"/>
        </w:rPr>
        <w:t>规定</w:t>
      </w:r>
      <w:r>
        <w:rPr>
          <w:rFonts w:hint="eastAsia" w:ascii="宋体" w:hAnsi="宋体" w:eastAsia="宋体" w:cs="宋体"/>
          <w:color w:val="auto"/>
          <w:sz w:val="24"/>
          <w:szCs w:val="24"/>
          <w:highlight w:val="none"/>
          <w:lang w:val="en-US" w:eastAsia="zh-CN"/>
        </w:rPr>
        <w:t>开展安全监督工作。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5.0.2</w:t>
      </w:r>
      <w:r>
        <w:rPr>
          <w:rFonts w:hint="eastAsia" w:ascii="宋体" w:hAnsi="宋体" w:eastAsia="宋体" w:cs="宋体"/>
          <w:color w:val="auto"/>
          <w:sz w:val="24"/>
          <w:szCs w:val="24"/>
          <w:highlight w:val="none"/>
          <w:lang w:val="en-US" w:eastAsia="zh-CN"/>
        </w:rPr>
        <w:t xml:space="preserve">  进入监管区的物业服务人员，应通过电力企业驻地单位的安全培训并且考试合格。</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5.0.3</w:t>
      </w:r>
      <w:r>
        <w:rPr>
          <w:rFonts w:hint="eastAsia" w:ascii="宋体" w:hAnsi="宋体" w:eastAsia="宋体" w:cs="宋体"/>
          <w:color w:val="auto"/>
          <w:sz w:val="24"/>
          <w:szCs w:val="24"/>
          <w:highlight w:val="none"/>
          <w:lang w:val="en-US" w:eastAsia="zh-CN"/>
        </w:rPr>
        <w:t xml:space="preserve">  物业服务人员以及外来人员需要进入监管区作业时，</w:t>
      </w:r>
      <w:r>
        <w:rPr>
          <w:rFonts w:hint="eastAsia" w:ascii="宋体" w:hAnsi="宋体" w:eastAsia="宋体" w:cs="宋体"/>
          <w:color w:val="auto"/>
          <w:sz w:val="24"/>
          <w:szCs w:val="24"/>
          <w:highlight w:val="none"/>
        </w:rPr>
        <w:t>应到电力企业驻地单位相关部门</w:t>
      </w:r>
      <w:r>
        <w:rPr>
          <w:rFonts w:hint="eastAsia" w:ascii="宋体" w:hAnsi="宋体" w:eastAsia="宋体" w:cs="宋体"/>
          <w:color w:val="auto"/>
          <w:sz w:val="24"/>
          <w:szCs w:val="24"/>
          <w:highlight w:val="none"/>
          <w:lang w:val="en-US" w:eastAsia="zh-CN"/>
        </w:rPr>
        <w:t>申请办理进场手续，</w:t>
      </w:r>
      <w:r>
        <w:rPr>
          <w:rFonts w:hint="eastAsia" w:ascii="宋体" w:hAnsi="宋体" w:eastAsia="宋体" w:cs="宋体"/>
          <w:color w:val="auto"/>
          <w:sz w:val="24"/>
          <w:szCs w:val="24"/>
          <w:highlight w:val="none"/>
        </w:rPr>
        <w:t>取得工作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许可后，</w:t>
      </w:r>
      <w:r>
        <w:rPr>
          <w:rFonts w:hint="eastAsia" w:ascii="宋体" w:hAnsi="宋体" w:eastAsia="宋体" w:cs="宋体"/>
          <w:color w:val="auto"/>
          <w:sz w:val="24"/>
          <w:szCs w:val="24"/>
          <w:highlight w:val="none"/>
          <w:lang w:val="en-US" w:eastAsia="zh-CN"/>
        </w:rPr>
        <w:t>在工作负责人和指定监管人员的引领和监管下，方可进入监管区作业。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5.0.4</w:t>
      </w:r>
      <w:r>
        <w:rPr>
          <w:rFonts w:hint="eastAsia" w:ascii="宋体" w:hAnsi="宋体" w:eastAsia="宋体" w:cs="宋体"/>
          <w:color w:val="auto"/>
          <w:sz w:val="24"/>
          <w:szCs w:val="24"/>
          <w:highlight w:val="none"/>
          <w:lang w:val="en-US" w:eastAsia="zh-CN"/>
        </w:rPr>
        <w:t xml:space="preserve">  进入生产场所或带电设施设备附近工作时，</w:t>
      </w:r>
      <w:r>
        <w:rPr>
          <w:rFonts w:hint="eastAsia" w:ascii="宋体" w:hAnsi="宋体" w:eastAsia="宋体" w:cs="宋体"/>
          <w:color w:val="auto"/>
          <w:sz w:val="24"/>
          <w:szCs w:val="24"/>
          <w:highlight w:val="none"/>
        </w:rPr>
        <w:t>物业服务人员应按要求着棉质长袖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纽扣束口</w:t>
      </w:r>
      <w:r>
        <w:rPr>
          <w:rFonts w:hint="eastAsia" w:ascii="宋体" w:hAnsi="宋体" w:eastAsia="宋体" w:cs="宋体"/>
          <w:color w:val="auto"/>
          <w:sz w:val="24"/>
          <w:szCs w:val="24"/>
          <w:highlight w:val="none"/>
          <w:lang w:val="en-US" w:eastAsia="zh-CN"/>
        </w:rPr>
        <w:t>工作服，</w:t>
      </w:r>
      <w:r>
        <w:rPr>
          <w:rFonts w:hint="eastAsia" w:ascii="宋体" w:hAnsi="宋体" w:eastAsia="宋体" w:cs="宋体"/>
          <w:color w:val="auto"/>
          <w:sz w:val="24"/>
          <w:szCs w:val="24"/>
          <w:highlight w:val="none"/>
        </w:rPr>
        <w:t>戴安全</w:t>
      </w:r>
      <w:r>
        <w:rPr>
          <w:rFonts w:hint="eastAsia" w:ascii="宋体" w:hAnsi="宋体" w:eastAsia="宋体" w:cs="宋体"/>
          <w:color w:val="auto"/>
          <w:sz w:val="24"/>
          <w:szCs w:val="24"/>
          <w:highlight w:val="none"/>
          <w:lang w:val="en-US" w:eastAsia="zh-CN"/>
        </w:rPr>
        <w:t>帽（长发应盘在安全帽内）</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穿工作</w:t>
      </w:r>
      <w:r>
        <w:rPr>
          <w:rFonts w:hint="eastAsia" w:ascii="宋体" w:hAnsi="宋体" w:eastAsia="宋体" w:cs="宋体"/>
          <w:color w:val="auto"/>
          <w:sz w:val="24"/>
          <w:szCs w:val="24"/>
          <w:highlight w:val="none"/>
        </w:rPr>
        <w:t>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使用合格的工器具</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5.0.5</w:t>
      </w:r>
      <w:r>
        <w:rPr>
          <w:rFonts w:hint="eastAsia" w:ascii="宋体" w:hAnsi="宋体" w:eastAsia="宋体" w:cs="宋体"/>
          <w:color w:val="auto"/>
          <w:sz w:val="24"/>
          <w:szCs w:val="24"/>
          <w:highlight w:val="none"/>
          <w:lang w:val="en-US" w:eastAsia="zh-CN"/>
        </w:rPr>
        <w:t xml:space="preserve">  物业服务人员在带电体附近服务发现火情时要马上报告，通知有经过专业训练的消防人员进行灭火处置，严禁擅自启用灭火设施自行灭火，以防出现安全事故的发生。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 xml:space="preserve">5.0.6 </w:t>
      </w:r>
      <w:r>
        <w:rPr>
          <w:rFonts w:hint="eastAsia" w:ascii="宋体" w:hAnsi="宋体" w:eastAsia="宋体" w:cs="宋体"/>
          <w:color w:val="auto"/>
          <w:sz w:val="24"/>
          <w:szCs w:val="24"/>
          <w:highlight w:val="none"/>
          <w:lang w:val="en-US" w:eastAsia="zh-CN"/>
        </w:rPr>
        <w:t xml:space="preserve"> 物业服务人员邻近禁止区附近作业，应明确员工作业安全距离</w:t>
      </w:r>
      <w:r>
        <w:rPr>
          <w:rFonts w:hint="eastAsia" w:ascii="宋体" w:hAnsi="宋体" w:cs="宋体"/>
          <w:color w:val="auto"/>
          <w:sz w:val="24"/>
          <w:szCs w:val="24"/>
          <w:highlight w:val="none"/>
          <w:lang w:val="en-US" w:eastAsia="zh-CN"/>
        </w:rPr>
        <w:t>应符合现行地方标准《电力安全工作规程 发电厂和变电站电气部分》</w:t>
      </w:r>
      <w:r>
        <w:rPr>
          <w:rFonts w:hint="eastAsia" w:ascii="宋体" w:hAnsi="宋体" w:eastAsia="宋体" w:cs="宋体"/>
          <w:color w:val="auto"/>
          <w:sz w:val="24"/>
          <w:szCs w:val="24"/>
          <w:highlight w:val="none"/>
          <w:lang w:val="en-US" w:eastAsia="zh-CN"/>
        </w:rPr>
        <w:t>GB26860—2011第5.1表1的相关</w:t>
      </w:r>
      <w:r>
        <w:rPr>
          <w:rFonts w:hint="eastAsia" w:ascii="宋体" w:hAnsi="宋体" w:cs="宋体"/>
          <w:color w:val="auto"/>
          <w:sz w:val="24"/>
          <w:szCs w:val="24"/>
          <w:highlight w:val="none"/>
          <w:lang w:val="en-US" w:eastAsia="zh-CN"/>
        </w:rPr>
        <w:t>规定</w:t>
      </w:r>
      <w:r>
        <w:rPr>
          <w:rFonts w:hint="eastAsia" w:ascii="宋体" w:hAnsi="宋体" w:eastAsia="宋体" w:cs="宋体"/>
          <w:color w:val="auto"/>
          <w:sz w:val="24"/>
          <w:szCs w:val="24"/>
          <w:highlight w:val="none"/>
          <w:lang w:val="en-US" w:eastAsia="zh-CN"/>
        </w:rPr>
        <w:t>和相关防护措施。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5.0.7</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其他安全要求</w:t>
      </w:r>
      <w:r>
        <w:rPr>
          <w:rFonts w:hint="eastAsia" w:ascii="宋体" w:hAnsi="宋体" w:cs="宋体"/>
          <w:color w:val="auto"/>
          <w:sz w:val="24"/>
          <w:szCs w:val="24"/>
          <w:highlight w:val="none"/>
          <w:lang w:val="en-US" w:eastAsia="zh-CN"/>
        </w:rPr>
        <w:t>应符合现行地方标准《电力安全工作规程 发电厂和变电站电气部分》</w:t>
      </w:r>
      <w:r>
        <w:rPr>
          <w:rFonts w:hint="eastAsia" w:ascii="宋体" w:hAnsi="宋体" w:eastAsia="宋体" w:cs="宋体"/>
          <w:color w:val="auto"/>
          <w:sz w:val="24"/>
          <w:szCs w:val="24"/>
          <w:highlight w:val="none"/>
          <w:lang w:val="en-US" w:eastAsia="zh-CN"/>
        </w:rPr>
        <w:t>GB26860-2011第16点相关</w:t>
      </w:r>
      <w:r>
        <w:rPr>
          <w:rFonts w:hint="eastAsia" w:ascii="宋体" w:hAnsi="宋体" w:cs="宋体"/>
          <w:color w:val="auto"/>
          <w:sz w:val="24"/>
          <w:szCs w:val="24"/>
          <w:highlight w:val="none"/>
          <w:lang w:val="en-US" w:eastAsia="zh-CN"/>
        </w:rPr>
        <w:t>规定</w:t>
      </w:r>
      <w:r>
        <w:rPr>
          <w:rFonts w:hint="eastAsia" w:ascii="宋体" w:hAnsi="宋体" w:eastAsia="宋体" w:cs="宋体"/>
          <w:color w:val="auto"/>
          <w:sz w:val="24"/>
          <w:szCs w:val="24"/>
          <w:highlight w:val="none"/>
          <w:lang w:val="en-US" w:eastAsia="zh-CN"/>
        </w:rPr>
        <w:t>开展工作。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宋体" w:hAnsi="宋体" w:eastAsia="宋体" w:cs="宋体"/>
          <w:color w:val="auto"/>
          <w:sz w:val="24"/>
          <w:szCs w:val="24"/>
          <w:highlight w:val="none"/>
          <w:lang w:val="en-US" w:eastAsia="zh-CN"/>
        </w:rPr>
      </w:pPr>
      <w:bookmarkStart w:id="50" w:name="_Toc23575"/>
      <w:r>
        <w:rPr>
          <w:rFonts w:hint="eastAsia" w:ascii="Times New Roman" w:hAnsi="Times New Roman" w:eastAsia="宋体" w:cs="Times New Roman"/>
          <w:b/>
          <w:bCs/>
          <w:color w:val="auto"/>
          <w:sz w:val="24"/>
          <w:szCs w:val="24"/>
          <w:highlight w:val="none"/>
          <w:lang w:val="en-US" w:eastAsia="zh-CN"/>
        </w:rPr>
        <w:t xml:space="preserve">5.0.8 </w:t>
      </w:r>
      <w:r>
        <w:rPr>
          <w:rFonts w:hint="eastAsia" w:ascii="宋体" w:hAnsi="宋体" w:eastAsia="宋体" w:cs="宋体"/>
          <w:color w:val="auto"/>
          <w:sz w:val="24"/>
          <w:szCs w:val="24"/>
          <w:highlight w:val="none"/>
          <w:lang w:val="en-US" w:eastAsia="zh-CN"/>
        </w:rPr>
        <w:t xml:space="preserve"> 监管现场安全作业要求包括但不限于以下内容：</w:t>
      </w:r>
      <w:bookmarkEnd w:id="50"/>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有</w:t>
      </w:r>
      <w:r>
        <w:rPr>
          <w:rFonts w:hint="eastAsia" w:ascii="宋体" w:hAnsi="宋体" w:eastAsia="宋体" w:cs="宋体"/>
          <w:color w:val="auto"/>
          <w:sz w:val="24"/>
          <w:szCs w:val="24"/>
          <w:highlight w:val="none"/>
        </w:rPr>
        <w:t>制定施</w:t>
      </w:r>
      <w:r>
        <w:rPr>
          <w:rFonts w:hint="eastAsia" w:ascii="宋体" w:hAnsi="宋体" w:cs="宋体"/>
          <w:color w:val="auto"/>
          <w:sz w:val="24"/>
          <w:szCs w:val="24"/>
          <w:highlight w:val="none"/>
          <w:lang w:val="en-US" w:eastAsia="zh-CN"/>
        </w:rPr>
        <w:t>工</w:t>
      </w:r>
      <w:r>
        <w:rPr>
          <w:rFonts w:hint="eastAsia" w:ascii="宋体" w:hAnsi="宋体" w:eastAsia="宋体" w:cs="宋体"/>
          <w:color w:val="auto"/>
          <w:sz w:val="24"/>
          <w:szCs w:val="24"/>
          <w:highlight w:val="none"/>
          <w:lang w:val="en-US" w:eastAsia="zh-CN"/>
        </w:rPr>
        <w:t>作业安全</w:t>
      </w:r>
      <w:r>
        <w:rPr>
          <w:rFonts w:hint="eastAsia" w:ascii="宋体" w:hAnsi="宋体" w:eastAsia="宋体" w:cs="宋体"/>
          <w:color w:val="auto"/>
          <w:sz w:val="24"/>
          <w:szCs w:val="24"/>
          <w:highlight w:val="none"/>
        </w:rPr>
        <w:t>工</w:t>
      </w:r>
      <w:r>
        <w:rPr>
          <w:rFonts w:hint="eastAsia" w:ascii="宋体" w:hAnsi="宋体" w:cs="宋体"/>
          <w:color w:val="auto"/>
          <w:sz w:val="24"/>
          <w:szCs w:val="24"/>
          <w:highlight w:val="none"/>
          <w:lang w:val="en-US" w:eastAsia="zh-CN"/>
        </w:rPr>
        <w:t>作</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val="en-US" w:eastAsia="zh-CN"/>
        </w:rPr>
        <w:t>并获</w:t>
      </w:r>
      <w:r>
        <w:rPr>
          <w:rFonts w:hint="eastAsia" w:ascii="宋体" w:hAnsi="宋体" w:eastAsia="宋体" w:cs="宋体"/>
          <w:color w:val="auto"/>
          <w:sz w:val="24"/>
          <w:szCs w:val="24"/>
          <w:highlight w:val="none"/>
        </w:rPr>
        <w:t>电力企业驻地单位相关部门</w:t>
      </w:r>
      <w:r>
        <w:rPr>
          <w:rFonts w:hint="eastAsia" w:ascii="宋体" w:hAnsi="宋体" w:eastAsia="宋体" w:cs="宋体"/>
          <w:color w:val="auto"/>
          <w:sz w:val="24"/>
          <w:szCs w:val="24"/>
          <w:highlight w:val="none"/>
          <w:lang w:val="en-US" w:eastAsia="zh-CN"/>
        </w:rPr>
        <w:t>审批；</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outlineLvl w:val="0"/>
        <w:rPr>
          <w:rFonts w:hint="eastAsia" w:ascii="宋体" w:hAnsi="宋体" w:eastAsia="宋体" w:cs="宋体"/>
          <w:color w:val="auto"/>
          <w:sz w:val="24"/>
          <w:szCs w:val="24"/>
          <w:highlight w:val="none"/>
          <w:lang w:val="en-US" w:eastAsia="zh-CN"/>
        </w:rPr>
      </w:pPr>
      <w:bookmarkStart w:id="51" w:name="_Toc14691"/>
      <w:r>
        <w:rPr>
          <w:rFonts w:hint="eastAsia" w:ascii="宋体" w:hAnsi="宋体" w:eastAsia="宋体" w:cs="宋体"/>
          <w:color w:val="auto"/>
          <w:sz w:val="24"/>
          <w:szCs w:val="24"/>
          <w:highlight w:val="none"/>
          <w:lang w:val="en-US" w:eastAsia="zh-CN"/>
        </w:rPr>
        <w:t>2  施工前</w:t>
      </w:r>
      <w:r>
        <w:rPr>
          <w:rFonts w:hint="eastAsia" w:ascii="宋体" w:hAnsi="宋体" w:cs="宋体"/>
          <w:color w:val="auto"/>
          <w:sz w:val="24"/>
          <w:szCs w:val="24"/>
          <w:highlight w:val="none"/>
          <w:lang w:val="en-US" w:eastAsia="zh-CN"/>
        </w:rPr>
        <w:t>应</w:t>
      </w:r>
      <w:r>
        <w:rPr>
          <w:rFonts w:hint="eastAsia" w:ascii="宋体" w:hAnsi="宋体" w:eastAsia="宋体" w:cs="宋体"/>
          <w:color w:val="auto"/>
          <w:sz w:val="24"/>
          <w:szCs w:val="24"/>
          <w:highlight w:val="none"/>
          <w:lang w:val="en-US" w:eastAsia="zh-CN"/>
        </w:rPr>
        <w:t>签订《施工安全责任协议书》；</w:t>
      </w:r>
      <w:bookmarkEnd w:id="51"/>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施工现场设有工作负责人和符合要求的安全监督（护）人，清楚工作范围和禁止行为；</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开工前制定《安全技术交底单》并每日开工前对作业人员进行安全技术交底和双方（签字）；</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  工作结束后，工作负责人和安全监督（护）人及时清理现场并确认撤离全部人员。</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both"/>
        <w:textAlignment w:val="auto"/>
        <w:rPr>
          <w:rFonts w:hint="eastAsia" w:hAnsi="Times New Roman" w:cs="Times New Roman"/>
          <w:color w:val="auto"/>
          <w:highlight w:val="none"/>
          <w:lang w:val="en-US" w:eastAsia="zh-CN"/>
        </w:rPr>
      </w:pPr>
      <w:bookmarkStart w:id="52" w:name="_Toc24020"/>
    </w:p>
    <w:p>
      <w:pPr>
        <w:pStyle w:val="2"/>
        <w:keepNext w:val="0"/>
        <w:keepLines w:val="0"/>
        <w:pageBreakBefore/>
        <w:spacing w:line="240" w:lineRule="auto"/>
        <w:jc w:val="center"/>
        <w:rPr>
          <w:rFonts w:hint="eastAsia" w:ascii="Times New Roman" w:hAnsi="Times New Roman" w:eastAsia="宋体" w:cs="Times New Roman"/>
          <w:sz w:val="30"/>
          <w:highlight w:val="none"/>
          <w:lang w:val="en-US" w:eastAsia="zh-CN"/>
        </w:rPr>
      </w:pPr>
      <w:bookmarkStart w:id="53" w:name="_Toc21993"/>
      <w:r>
        <w:rPr>
          <w:rFonts w:hint="eastAsia" w:ascii="Times New Roman" w:hAnsi="Times New Roman" w:eastAsia="宋体" w:cs="Times New Roman"/>
          <w:sz w:val="30"/>
          <w:highlight w:val="none"/>
          <w:lang w:val="en-US" w:eastAsia="zh-CN"/>
        </w:rPr>
        <w:t xml:space="preserve">6 </w:t>
      </w:r>
      <w:r>
        <w:rPr>
          <w:rFonts w:hint="eastAsia" w:ascii="Times New Roman" w:hAnsi="Times New Roman" w:eastAsia="宋体" w:cs="Times New Roman"/>
          <w:b w:val="0"/>
          <w:bCs w:val="0"/>
          <w:sz w:val="30"/>
          <w:highlight w:val="none"/>
          <w:lang w:val="en-US" w:eastAsia="zh-CN"/>
        </w:rPr>
        <w:t>承</w:t>
      </w:r>
      <w:r>
        <w:rPr>
          <w:rFonts w:hint="eastAsia" w:cs="Times New Roman"/>
          <w:b w:val="0"/>
          <w:bCs w:val="0"/>
          <w:sz w:val="30"/>
          <w:highlight w:val="none"/>
          <w:lang w:val="en-US" w:eastAsia="zh-CN"/>
        </w:rPr>
        <w:t xml:space="preserve">  </w:t>
      </w:r>
      <w:r>
        <w:rPr>
          <w:rFonts w:hint="eastAsia" w:ascii="Times New Roman" w:hAnsi="Times New Roman" w:eastAsia="宋体" w:cs="Times New Roman"/>
          <w:b w:val="0"/>
          <w:bCs w:val="0"/>
          <w:sz w:val="30"/>
          <w:highlight w:val="none"/>
          <w:lang w:val="en-US" w:eastAsia="zh-CN"/>
        </w:rPr>
        <w:t>接</w:t>
      </w:r>
      <w:r>
        <w:rPr>
          <w:rFonts w:hint="eastAsia" w:cs="Times New Roman"/>
          <w:b w:val="0"/>
          <w:bCs w:val="0"/>
          <w:sz w:val="30"/>
          <w:highlight w:val="none"/>
          <w:lang w:val="en-US" w:eastAsia="zh-CN"/>
        </w:rPr>
        <w:t xml:space="preserve">  </w:t>
      </w:r>
      <w:r>
        <w:rPr>
          <w:rFonts w:hint="eastAsia" w:ascii="Times New Roman" w:hAnsi="Times New Roman" w:eastAsia="宋体" w:cs="Times New Roman"/>
          <w:b w:val="0"/>
          <w:bCs w:val="0"/>
          <w:sz w:val="30"/>
          <w:highlight w:val="none"/>
          <w:lang w:val="en-US" w:eastAsia="zh-CN"/>
        </w:rPr>
        <w:t>查</w:t>
      </w:r>
      <w:r>
        <w:rPr>
          <w:rFonts w:hint="eastAsia" w:cs="Times New Roman"/>
          <w:b w:val="0"/>
          <w:bCs w:val="0"/>
          <w:sz w:val="30"/>
          <w:highlight w:val="none"/>
          <w:lang w:val="en-US" w:eastAsia="zh-CN"/>
        </w:rPr>
        <w:t xml:space="preserve">  </w:t>
      </w:r>
      <w:r>
        <w:rPr>
          <w:rFonts w:hint="eastAsia" w:ascii="Times New Roman" w:hAnsi="Times New Roman" w:eastAsia="宋体" w:cs="Times New Roman"/>
          <w:b w:val="0"/>
          <w:bCs w:val="0"/>
          <w:sz w:val="30"/>
          <w:highlight w:val="none"/>
          <w:lang w:val="en-US" w:eastAsia="zh-CN"/>
        </w:rPr>
        <w:t>验</w:t>
      </w:r>
      <w:bookmarkEnd w:id="52"/>
      <w:bookmarkEnd w:id="5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sz w:val="24"/>
          <w:szCs w:val="24"/>
          <w:highlight w:val="none"/>
          <w:lang w:val="en-US" w:eastAsia="zh-CN" w:bidi="ar-SA"/>
        </w:rPr>
        <w:t>6</w:t>
      </w:r>
      <w:r>
        <w:rPr>
          <w:rFonts w:hint="default" w:ascii="Times New Roman" w:hAnsi="Times New Roman" w:eastAsia="宋体" w:cs="Times New Roman"/>
          <w:b/>
          <w:bCs/>
          <w:i w:val="0"/>
          <w:color w:val="auto"/>
          <w:sz w:val="24"/>
          <w:szCs w:val="24"/>
          <w:highlight w:val="none"/>
          <w:lang w:val="en-US" w:eastAsia="zh-CN" w:bidi="ar-SA"/>
        </w:rPr>
        <w:t>.</w:t>
      </w:r>
      <w:r>
        <w:rPr>
          <w:rFonts w:hint="eastAsia" w:ascii="Times New Roman" w:hAnsi="Times New Roman" w:eastAsia="宋体" w:cs="Times New Roman"/>
          <w:b/>
          <w:bCs/>
          <w:color w:val="auto"/>
          <w:sz w:val="24"/>
          <w:szCs w:val="24"/>
          <w:highlight w:val="none"/>
          <w:lang w:val="en-US" w:eastAsia="zh-CN"/>
        </w:rPr>
        <w:t>0.</w:t>
      </w:r>
      <w:r>
        <w:rPr>
          <w:rFonts w:hint="default" w:ascii="Times New Roman" w:hAnsi="Times New Roman" w:eastAsia="宋体" w:cs="Times New Roman"/>
          <w:b/>
          <w:bCs/>
          <w:i w:val="0"/>
          <w:color w:val="auto"/>
          <w:sz w:val="24"/>
          <w:szCs w:val="24"/>
          <w:highlight w:val="none"/>
          <w:lang w:val="en-US" w:eastAsia="zh-CN" w:bidi="ar-SA"/>
        </w:rPr>
        <w:t xml:space="preserve">1  </w:t>
      </w:r>
      <w:r>
        <w:rPr>
          <w:rFonts w:hint="eastAsia" w:ascii="宋体" w:hAnsi="宋体" w:eastAsia="宋体" w:cs="宋体"/>
          <w:color w:val="auto"/>
          <w:sz w:val="24"/>
          <w:szCs w:val="24"/>
          <w:highlight w:val="none"/>
          <w:lang w:val="en-US" w:eastAsia="zh-CN"/>
        </w:rPr>
        <w:t>应依据《中华人民共和国民法典》、《物业管理条例》、物业服务合同等文件，对新建物业或服务企业更迭时进行承接查验。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宋体" w:hAnsi="宋体" w:eastAsia="宋体" w:cs="宋体"/>
          <w:color w:val="auto"/>
          <w:sz w:val="24"/>
          <w:szCs w:val="24"/>
          <w:highlight w:val="none"/>
          <w:lang w:val="en-US" w:eastAsia="zh-CN"/>
        </w:rPr>
      </w:pPr>
      <w:bookmarkStart w:id="54" w:name="_Toc7500"/>
      <w:r>
        <w:rPr>
          <w:rFonts w:hint="eastAsia" w:ascii="Times New Roman" w:hAnsi="Times New Roman" w:eastAsia="宋体" w:cs="Times New Roman"/>
          <w:b/>
          <w:bCs/>
          <w:i w:val="0"/>
          <w:color w:val="auto"/>
          <w:sz w:val="24"/>
          <w:szCs w:val="24"/>
          <w:highlight w:val="none"/>
          <w:lang w:val="en-US" w:eastAsia="zh-CN" w:bidi="ar-SA"/>
        </w:rPr>
        <w:t>6.</w:t>
      </w:r>
      <w:r>
        <w:rPr>
          <w:rFonts w:hint="eastAsia" w:ascii="Times New Roman" w:hAnsi="Times New Roman" w:eastAsia="宋体" w:cs="Times New Roman"/>
          <w:b/>
          <w:bCs/>
          <w:color w:val="auto"/>
          <w:sz w:val="24"/>
          <w:szCs w:val="24"/>
          <w:highlight w:val="none"/>
          <w:lang w:val="en-US" w:eastAsia="zh-CN"/>
        </w:rPr>
        <w:t>0.</w:t>
      </w:r>
      <w:r>
        <w:rPr>
          <w:rFonts w:hint="eastAsia" w:ascii="Times New Roman" w:hAnsi="Times New Roman" w:eastAsia="宋体" w:cs="Times New Roman"/>
          <w:b/>
          <w:bCs/>
          <w:i w:val="0"/>
          <w:color w:val="auto"/>
          <w:sz w:val="24"/>
          <w:szCs w:val="24"/>
          <w:highlight w:val="none"/>
          <w:lang w:val="en-US" w:eastAsia="zh-CN" w:bidi="ar-SA"/>
        </w:rPr>
        <w:t xml:space="preserve">2  </w:t>
      </w:r>
      <w:r>
        <w:rPr>
          <w:rFonts w:hint="eastAsia" w:ascii="宋体" w:hAnsi="宋体" w:eastAsia="宋体" w:cs="宋体"/>
          <w:color w:val="auto"/>
          <w:sz w:val="24"/>
          <w:szCs w:val="24"/>
          <w:highlight w:val="none"/>
          <w:lang w:val="en-US" w:eastAsia="zh-CN"/>
        </w:rPr>
        <w:t>承接查验主要包括但不限于以下内容：</w:t>
      </w:r>
      <w:bookmarkEnd w:id="54"/>
    </w:p>
    <w:p>
      <w:pPr>
        <w:pStyle w:val="62"/>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425" w:leftChars="0" w:hanging="5" w:firstLineChars="0"/>
        <w:textAlignment w:val="auto"/>
        <w:outlineLvl w:val="0"/>
        <w:rPr>
          <w:rFonts w:hint="eastAsia" w:ascii="宋体" w:hAnsi="宋体" w:eastAsia="宋体" w:cs="宋体"/>
          <w:color w:val="auto"/>
          <w:sz w:val="24"/>
          <w:szCs w:val="24"/>
          <w:highlight w:val="none"/>
          <w:lang w:val="en-US" w:eastAsia="zh-CN" w:bidi="ar-SA"/>
        </w:rPr>
      </w:pPr>
      <w:bookmarkStart w:id="55" w:name="_Toc10735"/>
      <w:bookmarkStart w:id="56" w:name="_Toc19689"/>
      <w:bookmarkStart w:id="57" w:name="_Toc434"/>
      <w:bookmarkStart w:id="58" w:name="_Toc28458"/>
      <w:r>
        <w:rPr>
          <w:rFonts w:hint="default" w:ascii="宋体" w:hAnsi="宋体" w:eastAsia="宋体" w:cs="宋体"/>
          <w:color w:val="auto"/>
          <w:sz w:val="24"/>
          <w:szCs w:val="24"/>
          <w:lang w:val="en-US" w:eastAsia="zh-CN" w:bidi="ar-SA"/>
        </w:rPr>
        <w:t>1</w:t>
      </w:r>
      <w:r>
        <w:rPr>
          <w:rFonts w:hint="eastAsia" w:ascii="宋体" w:hAnsi="宋体" w:eastAsia="宋体" w:cs="宋体"/>
          <w:color w:val="auto"/>
          <w:sz w:val="24"/>
          <w:szCs w:val="24"/>
          <w:lang w:val="en-US" w:eastAsia="zh-CN" w:bidi="ar-SA"/>
        </w:rPr>
        <w:t xml:space="preserve">  </w:t>
      </w:r>
      <w:r>
        <w:rPr>
          <w:rFonts w:hint="eastAsia" w:ascii="宋体" w:hAnsi="宋体" w:eastAsia="宋体" w:cs="宋体"/>
          <w:color w:val="auto"/>
          <w:sz w:val="24"/>
          <w:szCs w:val="24"/>
          <w:highlight w:val="none"/>
          <w:lang w:val="en-US" w:eastAsia="zh-CN" w:bidi="ar-SA"/>
        </w:rPr>
        <w:t>制定物业承接查验方案；</w:t>
      </w:r>
      <w:bookmarkEnd w:id="55"/>
      <w:bookmarkEnd w:id="56"/>
      <w:bookmarkEnd w:id="57"/>
      <w:bookmarkEnd w:id="58"/>
      <w:bookmarkStart w:id="59" w:name="_Toc12419"/>
      <w:bookmarkStart w:id="60" w:name="_Toc25445"/>
      <w:bookmarkStart w:id="61" w:name="_Toc24340"/>
      <w:bookmarkStart w:id="62" w:name="_Toc12004"/>
      <w:bookmarkStart w:id="63" w:name="_Toc20731"/>
      <w:bookmarkStart w:id="64" w:name="_Toc7187"/>
      <w:bookmarkStart w:id="65" w:name="_Toc17863"/>
    </w:p>
    <w:p>
      <w:pPr>
        <w:pStyle w:val="62"/>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425" w:leftChars="0" w:hanging="5" w:firstLineChars="0"/>
        <w:textAlignment w:val="auto"/>
        <w:outlineLvl w:val="0"/>
        <w:rPr>
          <w:rFonts w:hint="eastAsia" w:ascii="宋体" w:hAnsi="宋体" w:eastAsia="宋体" w:cs="宋体"/>
          <w:color w:val="auto"/>
          <w:sz w:val="24"/>
          <w:szCs w:val="24"/>
          <w:highlight w:val="none"/>
          <w:lang w:val="en-US" w:eastAsia="zh-CN" w:bidi="ar-SA"/>
        </w:rPr>
      </w:pPr>
      <w:r>
        <w:rPr>
          <w:rFonts w:hint="default" w:ascii="宋体" w:hAnsi="宋体" w:eastAsia="宋体" w:cs="宋体"/>
          <w:color w:val="auto"/>
          <w:sz w:val="24"/>
          <w:szCs w:val="24"/>
          <w:lang w:val="en-US" w:eastAsia="zh-CN" w:bidi="ar-SA"/>
        </w:rPr>
        <w:t>2</w:t>
      </w:r>
      <w:r>
        <w:rPr>
          <w:rFonts w:hint="eastAsia" w:ascii="宋体" w:hAnsi="宋体" w:eastAsia="宋体" w:cs="宋体"/>
          <w:color w:val="auto"/>
          <w:sz w:val="24"/>
          <w:szCs w:val="24"/>
          <w:lang w:val="en-US" w:eastAsia="zh-CN" w:bidi="ar-SA"/>
        </w:rPr>
        <w:t xml:space="preserve">  </w:t>
      </w:r>
      <w:r>
        <w:rPr>
          <w:rFonts w:hint="eastAsia" w:ascii="宋体" w:hAnsi="宋体" w:eastAsia="宋体" w:cs="宋体"/>
          <w:color w:val="auto"/>
          <w:sz w:val="24"/>
          <w:szCs w:val="24"/>
          <w:highlight w:val="none"/>
          <w:lang w:val="en-US" w:eastAsia="zh-CN" w:bidi="ar-SA"/>
        </w:rPr>
        <w:t>签订物业承接查验协议；</w:t>
      </w:r>
      <w:bookmarkEnd w:id="59"/>
      <w:bookmarkEnd w:id="60"/>
      <w:bookmarkEnd w:id="61"/>
      <w:bookmarkEnd w:id="62"/>
    </w:p>
    <w:p>
      <w:pPr>
        <w:pStyle w:val="62"/>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425" w:leftChars="0" w:hanging="5" w:firstLineChars="0"/>
        <w:textAlignment w:val="auto"/>
        <w:outlineLvl w:val="0"/>
        <w:rPr>
          <w:rFonts w:hint="eastAsia" w:ascii="宋体" w:hAnsi="宋体" w:eastAsia="宋体" w:cs="宋体"/>
          <w:color w:val="auto"/>
          <w:sz w:val="24"/>
          <w:szCs w:val="24"/>
          <w:highlight w:val="none"/>
          <w:lang w:val="en-US" w:eastAsia="zh-CN" w:bidi="ar-SA"/>
        </w:rPr>
      </w:pPr>
      <w:bookmarkStart w:id="66" w:name="_Toc11512"/>
      <w:r>
        <w:rPr>
          <w:rFonts w:hint="default" w:ascii="宋体" w:hAnsi="宋体" w:eastAsia="宋体" w:cs="宋体"/>
          <w:color w:val="auto"/>
          <w:sz w:val="24"/>
          <w:szCs w:val="24"/>
          <w:lang w:val="en-US" w:eastAsia="zh-CN" w:bidi="ar-SA"/>
        </w:rPr>
        <w:t>3</w:t>
      </w:r>
      <w:r>
        <w:rPr>
          <w:rFonts w:hint="eastAsia" w:ascii="宋体" w:hAnsi="宋体" w:eastAsia="宋体" w:cs="宋体"/>
          <w:color w:val="auto"/>
          <w:sz w:val="24"/>
          <w:szCs w:val="24"/>
          <w:lang w:val="en-US" w:eastAsia="zh-CN" w:bidi="ar-SA"/>
        </w:rPr>
        <w:t xml:space="preserve">  </w:t>
      </w:r>
      <w:r>
        <w:rPr>
          <w:rFonts w:hint="eastAsia" w:ascii="宋体" w:hAnsi="宋体" w:eastAsia="宋体" w:cs="宋体"/>
          <w:color w:val="auto"/>
          <w:sz w:val="24"/>
          <w:szCs w:val="24"/>
          <w:highlight w:val="none"/>
          <w:lang w:val="en-US" w:eastAsia="zh-CN" w:bidi="ar-SA"/>
        </w:rPr>
        <w:t>开展现场查验前移交有关资料及图纸；</w:t>
      </w:r>
      <w:bookmarkEnd w:id="63"/>
      <w:bookmarkEnd w:id="64"/>
      <w:bookmarkEnd w:id="65"/>
      <w:bookmarkEnd w:id="66"/>
    </w:p>
    <w:p>
      <w:pPr>
        <w:pStyle w:val="62"/>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425" w:leftChars="0" w:hanging="5" w:firstLineChars="0"/>
        <w:textAlignment w:val="auto"/>
        <w:outlineLvl w:val="0"/>
        <w:rPr>
          <w:rFonts w:hint="eastAsia" w:ascii="宋体" w:hAnsi="宋体" w:eastAsia="宋体" w:cs="宋体"/>
          <w:color w:val="auto"/>
          <w:sz w:val="24"/>
          <w:szCs w:val="24"/>
          <w:highlight w:val="none"/>
          <w:lang w:val="en-US" w:eastAsia="zh-CN" w:bidi="ar-SA"/>
        </w:rPr>
      </w:pPr>
      <w:bookmarkStart w:id="67" w:name="_Toc5092"/>
      <w:bookmarkStart w:id="68" w:name="_Toc2952"/>
      <w:bookmarkStart w:id="69" w:name="_Toc27278"/>
      <w:bookmarkStart w:id="70" w:name="_Toc1551"/>
      <w:r>
        <w:rPr>
          <w:rFonts w:hint="default" w:ascii="宋体" w:hAnsi="宋体" w:eastAsia="宋体" w:cs="宋体"/>
          <w:color w:val="auto"/>
          <w:sz w:val="24"/>
          <w:szCs w:val="24"/>
          <w:lang w:val="en-US" w:eastAsia="zh-CN" w:bidi="ar-SA"/>
        </w:rPr>
        <w:t>4</w:t>
      </w:r>
      <w:r>
        <w:rPr>
          <w:rFonts w:hint="eastAsia" w:ascii="宋体" w:hAnsi="宋体" w:eastAsia="宋体" w:cs="宋体"/>
          <w:color w:val="auto"/>
          <w:sz w:val="24"/>
          <w:szCs w:val="24"/>
          <w:lang w:val="en-US" w:eastAsia="zh-CN" w:bidi="ar-SA"/>
        </w:rPr>
        <w:t xml:space="preserve">  </w:t>
      </w:r>
      <w:r>
        <w:rPr>
          <w:rFonts w:hint="eastAsia" w:ascii="宋体" w:hAnsi="宋体" w:eastAsia="宋体" w:cs="宋体"/>
          <w:color w:val="auto"/>
          <w:sz w:val="24"/>
          <w:szCs w:val="24"/>
          <w:highlight w:val="none"/>
          <w:lang w:val="en-US" w:eastAsia="zh-CN" w:bidi="ar-SA"/>
        </w:rPr>
        <w:t>现场查验共用部位、共用设施设备及合同内约定的工作；</w:t>
      </w:r>
      <w:bookmarkEnd w:id="67"/>
      <w:bookmarkEnd w:id="68"/>
      <w:bookmarkEnd w:id="69"/>
      <w:bookmarkEnd w:id="70"/>
    </w:p>
    <w:p>
      <w:pPr>
        <w:pStyle w:val="62"/>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425" w:leftChars="0" w:hanging="5" w:firstLineChars="0"/>
        <w:textAlignment w:val="auto"/>
        <w:outlineLvl w:val="0"/>
        <w:rPr>
          <w:rFonts w:hint="eastAsia" w:ascii="宋体" w:hAnsi="宋体" w:eastAsia="宋体" w:cs="宋体"/>
          <w:color w:val="auto"/>
          <w:sz w:val="24"/>
          <w:szCs w:val="24"/>
          <w:highlight w:val="none"/>
          <w:lang w:val="en-US" w:eastAsia="zh-CN" w:bidi="ar-SA"/>
        </w:rPr>
      </w:pPr>
      <w:bookmarkStart w:id="71" w:name="_Toc6023"/>
      <w:bookmarkStart w:id="72" w:name="_Toc5078"/>
      <w:r>
        <w:rPr>
          <w:rFonts w:hint="default" w:ascii="宋体" w:hAnsi="宋体" w:eastAsia="宋体" w:cs="宋体"/>
          <w:color w:val="auto"/>
          <w:sz w:val="24"/>
          <w:szCs w:val="24"/>
          <w:lang w:val="en-US" w:eastAsia="zh-CN" w:bidi="ar-SA"/>
        </w:rPr>
        <w:t>5</w:t>
      </w:r>
      <w:r>
        <w:rPr>
          <w:rFonts w:hint="eastAsia" w:ascii="宋体" w:hAnsi="宋体" w:eastAsia="宋体" w:cs="宋体"/>
          <w:color w:val="auto"/>
          <w:sz w:val="24"/>
          <w:szCs w:val="24"/>
          <w:lang w:val="en-US" w:eastAsia="zh-CN" w:bidi="ar-SA"/>
        </w:rPr>
        <w:t xml:space="preserve">  </w:t>
      </w:r>
      <w:r>
        <w:rPr>
          <w:rFonts w:hint="eastAsia" w:ascii="宋体" w:hAnsi="宋体" w:eastAsia="宋体" w:cs="宋体"/>
          <w:color w:val="auto"/>
          <w:sz w:val="24"/>
          <w:szCs w:val="24"/>
          <w:highlight w:val="none"/>
          <w:lang w:val="en-US" w:eastAsia="zh-CN" w:bidi="ar-SA"/>
        </w:rPr>
        <w:t>移交合同、业主档案、物业管理费账册等相关台账；</w:t>
      </w:r>
      <w:bookmarkEnd w:id="71"/>
      <w:bookmarkEnd w:id="72"/>
    </w:p>
    <w:p>
      <w:pPr>
        <w:pStyle w:val="62"/>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425" w:leftChars="0" w:hanging="5" w:firstLineChars="0"/>
        <w:textAlignment w:val="auto"/>
        <w:outlineLvl w:val="0"/>
        <w:rPr>
          <w:rFonts w:hint="eastAsia" w:ascii="宋体" w:hAnsi="宋体" w:eastAsia="宋体" w:cs="宋体"/>
          <w:color w:val="auto"/>
          <w:sz w:val="24"/>
          <w:szCs w:val="24"/>
          <w:highlight w:val="none"/>
          <w:lang w:val="en-US" w:eastAsia="zh-CN" w:bidi="ar-SA"/>
        </w:rPr>
      </w:pPr>
      <w:bookmarkStart w:id="73" w:name="_Toc21001"/>
      <w:r>
        <w:rPr>
          <w:rFonts w:hint="default" w:ascii="宋体" w:hAnsi="宋体" w:eastAsia="宋体" w:cs="宋体"/>
          <w:color w:val="auto"/>
          <w:sz w:val="24"/>
          <w:szCs w:val="24"/>
          <w:lang w:val="en-US" w:eastAsia="zh-CN" w:bidi="ar-SA"/>
        </w:rPr>
        <w:t>6</w:t>
      </w:r>
      <w:r>
        <w:rPr>
          <w:rFonts w:hint="eastAsia" w:ascii="宋体" w:hAnsi="宋体" w:eastAsia="宋体" w:cs="宋体"/>
          <w:color w:val="auto"/>
          <w:sz w:val="24"/>
          <w:szCs w:val="24"/>
          <w:lang w:val="en-US" w:eastAsia="zh-CN" w:bidi="ar-SA"/>
        </w:rPr>
        <w:t xml:space="preserve">  </w:t>
      </w:r>
      <w:r>
        <w:rPr>
          <w:rFonts w:hint="eastAsia" w:ascii="宋体" w:hAnsi="宋体" w:eastAsia="宋体" w:cs="宋体"/>
          <w:color w:val="auto"/>
          <w:sz w:val="24"/>
          <w:szCs w:val="24"/>
          <w:highlight w:val="none"/>
          <w:lang w:val="en-US" w:eastAsia="zh-CN" w:bidi="ar-SA"/>
        </w:rPr>
        <w:t>移交固定资产及物料</w:t>
      </w:r>
      <w:bookmarkEnd w:id="73"/>
      <w:r>
        <w:rPr>
          <w:rFonts w:hint="eastAsia" w:ascii="宋体" w:hAnsi="宋体" w:eastAsia="宋体" w:cs="宋体"/>
          <w:color w:val="auto"/>
          <w:sz w:val="24"/>
          <w:szCs w:val="24"/>
          <w:highlight w:val="none"/>
          <w:lang w:val="en-US" w:eastAsia="zh-CN" w:bidi="ar-SA"/>
        </w:rPr>
        <w:t>；</w:t>
      </w:r>
    </w:p>
    <w:p>
      <w:pPr>
        <w:pStyle w:val="62"/>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425" w:leftChars="0" w:hanging="5" w:firstLineChars="0"/>
        <w:textAlignment w:val="auto"/>
        <w:outlineLvl w:val="0"/>
        <w:rPr>
          <w:rFonts w:hint="eastAsia" w:ascii="宋体" w:hAnsi="宋体" w:eastAsia="宋体" w:cs="宋体"/>
          <w:color w:val="auto"/>
          <w:sz w:val="24"/>
          <w:szCs w:val="24"/>
          <w:highlight w:val="none"/>
          <w:lang w:val="en-US" w:eastAsia="zh-CN" w:bidi="ar-SA"/>
        </w:rPr>
      </w:pPr>
      <w:bookmarkStart w:id="74" w:name="_Toc7648"/>
      <w:bookmarkStart w:id="75" w:name="_Toc20680"/>
      <w:bookmarkStart w:id="76" w:name="_Toc2245"/>
      <w:bookmarkStart w:id="77" w:name="_Toc17691"/>
      <w:r>
        <w:rPr>
          <w:rFonts w:hint="default" w:ascii="宋体" w:hAnsi="宋体" w:eastAsia="宋体" w:cs="宋体"/>
          <w:color w:val="auto"/>
          <w:sz w:val="24"/>
          <w:szCs w:val="24"/>
          <w:lang w:val="en-US" w:eastAsia="zh-CN" w:bidi="ar-SA"/>
        </w:rPr>
        <w:t>7</w:t>
      </w:r>
      <w:r>
        <w:rPr>
          <w:rFonts w:hint="eastAsia" w:ascii="宋体" w:hAnsi="宋体" w:eastAsia="宋体" w:cs="宋体"/>
          <w:color w:val="auto"/>
          <w:sz w:val="24"/>
          <w:szCs w:val="24"/>
          <w:lang w:val="en-US" w:eastAsia="zh-CN" w:bidi="ar-SA"/>
        </w:rPr>
        <w:t xml:space="preserve">  </w:t>
      </w:r>
      <w:r>
        <w:rPr>
          <w:rFonts w:hint="eastAsia" w:ascii="宋体" w:hAnsi="宋体" w:eastAsia="宋体" w:cs="宋体"/>
          <w:color w:val="auto"/>
          <w:sz w:val="24"/>
          <w:szCs w:val="24"/>
          <w:highlight w:val="none"/>
          <w:lang w:val="en-US" w:eastAsia="zh-CN" w:bidi="ar-SA"/>
        </w:rPr>
        <w:t>解决在查验时发现的问题；</w:t>
      </w:r>
      <w:bookmarkEnd w:id="74"/>
      <w:bookmarkEnd w:id="75"/>
      <w:bookmarkEnd w:id="76"/>
      <w:bookmarkEnd w:id="77"/>
    </w:p>
    <w:p>
      <w:pPr>
        <w:pStyle w:val="62"/>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425" w:leftChars="0" w:hanging="5" w:firstLineChars="0"/>
        <w:textAlignment w:val="auto"/>
        <w:outlineLvl w:val="0"/>
        <w:rPr>
          <w:rFonts w:hint="eastAsia" w:ascii="宋体" w:hAnsi="宋体" w:eastAsia="宋体" w:cs="宋体"/>
          <w:color w:val="auto"/>
          <w:sz w:val="24"/>
          <w:szCs w:val="24"/>
          <w:highlight w:val="none"/>
          <w:lang w:val="en-US" w:eastAsia="zh-CN" w:bidi="ar-SA"/>
        </w:rPr>
      </w:pPr>
      <w:bookmarkStart w:id="78" w:name="_Toc9317"/>
      <w:bookmarkStart w:id="79" w:name="_Toc7357"/>
      <w:bookmarkStart w:id="80" w:name="_Toc1381"/>
      <w:bookmarkStart w:id="81" w:name="_Toc22725"/>
      <w:r>
        <w:rPr>
          <w:rFonts w:hint="default" w:ascii="宋体" w:hAnsi="宋体" w:eastAsia="宋体" w:cs="宋体"/>
          <w:color w:val="auto"/>
          <w:sz w:val="24"/>
          <w:szCs w:val="24"/>
          <w:lang w:val="en-US" w:eastAsia="zh-CN" w:bidi="ar-SA"/>
        </w:rPr>
        <w:t>8</w:t>
      </w:r>
      <w:r>
        <w:rPr>
          <w:rFonts w:hint="eastAsia" w:ascii="宋体" w:hAnsi="宋体" w:eastAsia="宋体" w:cs="宋体"/>
          <w:color w:val="auto"/>
          <w:sz w:val="24"/>
          <w:szCs w:val="24"/>
          <w:lang w:val="en-US" w:eastAsia="zh-CN" w:bidi="ar-SA"/>
        </w:rPr>
        <w:t xml:space="preserve">  </w:t>
      </w:r>
      <w:r>
        <w:rPr>
          <w:rFonts w:hint="eastAsia" w:ascii="宋体" w:hAnsi="宋体" w:eastAsia="宋体" w:cs="宋体"/>
          <w:color w:val="auto"/>
          <w:sz w:val="24"/>
          <w:szCs w:val="24"/>
          <w:highlight w:val="none"/>
          <w:lang w:val="en-US" w:eastAsia="zh-CN" w:bidi="ar-SA"/>
        </w:rPr>
        <w:t>确认现场查验结果；</w:t>
      </w:r>
      <w:bookmarkEnd w:id="78"/>
      <w:bookmarkEnd w:id="79"/>
      <w:bookmarkEnd w:id="80"/>
    </w:p>
    <w:p>
      <w:pPr>
        <w:pStyle w:val="62"/>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425" w:leftChars="0" w:hanging="5" w:firstLineChars="0"/>
        <w:textAlignment w:val="auto"/>
        <w:outlineLvl w:val="0"/>
        <w:rPr>
          <w:rFonts w:hint="eastAsia" w:ascii="宋体" w:hAnsi="宋体" w:eastAsia="宋体" w:cs="宋体"/>
          <w:color w:val="auto"/>
          <w:sz w:val="24"/>
          <w:szCs w:val="24"/>
          <w:highlight w:val="none"/>
          <w:lang w:val="en-US" w:eastAsia="zh-CN" w:bidi="ar-SA"/>
        </w:rPr>
      </w:pPr>
      <w:r>
        <w:rPr>
          <w:rFonts w:hint="default" w:ascii="宋体" w:hAnsi="宋体" w:eastAsia="宋体" w:cs="宋体"/>
          <w:color w:val="auto"/>
          <w:sz w:val="24"/>
          <w:szCs w:val="24"/>
          <w:lang w:val="en-US" w:eastAsia="zh-CN" w:bidi="ar-SA"/>
        </w:rPr>
        <w:t>9</w:t>
      </w:r>
      <w:r>
        <w:rPr>
          <w:rFonts w:hint="eastAsia" w:ascii="宋体" w:hAnsi="宋体" w:eastAsia="宋体" w:cs="宋体"/>
          <w:color w:val="auto"/>
          <w:sz w:val="24"/>
          <w:szCs w:val="24"/>
          <w:lang w:val="en-US" w:eastAsia="zh-CN" w:bidi="ar-SA"/>
        </w:rPr>
        <w:t xml:space="preserve">  </w:t>
      </w:r>
      <w:r>
        <w:rPr>
          <w:rFonts w:hint="eastAsia" w:ascii="宋体" w:hAnsi="宋体" w:eastAsia="宋体" w:cs="宋体"/>
          <w:color w:val="auto"/>
          <w:sz w:val="24"/>
          <w:szCs w:val="24"/>
          <w:highlight w:val="none"/>
          <w:lang w:val="en-US" w:eastAsia="zh-CN" w:bidi="ar-SA"/>
        </w:rPr>
        <w:t>办理物业交接手续。</w:t>
      </w:r>
      <w:bookmarkEnd w:id="81"/>
    </w:p>
    <w:p>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Chars="0"/>
        <w:jc w:val="left"/>
        <w:textAlignment w:val="auto"/>
        <w:outlineLvl w:val="9"/>
        <w:rPr>
          <w:rFonts w:hint="eastAsia" w:hAnsi="Times New Roman" w:cs="Times New Roman"/>
          <w:color w:val="auto"/>
          <w:highlight w:val="none"/>
          <w:lang w:val="en-US" w:eastAsia="zh-CN"/>
        </w:rPr>
      </w:pPr>
      <w:bookmarkStart w:id="82" w:name="_Toc29104"/>
    </w:p>
    <w:p>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Chars="0"/>
        <w:jc w:val="left"/>
        <w:textAlignment w:val="auto"/>
        <w:outlineLvl w:val="9"/>
        <w:rPr>
          <w:rFonts w:hint="eastAsia" w:hAnsi="Times New Roman" w:cs="Times New Roman"/>
          <w:color w:val="auto"/>
          <w:highlight w:val="none"/>
          <w:lang w:val="en-US" w:eastAsia="zh-CN"/>
        </w:rPr>
      </w:pPr>
    </w:p>
    <w:p>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Chars="0"/>
        <w:jc w:val="left"/>
        <w:textAlignment w:val="auto"/>
        <w:outlineLvl w:val="9"/>
        <w:rPr>
          <w:rFonts w:hint="eastAsia" w:hAnsi="Times New Roman" w:cs="Times New Roman"/>
          <w:color w:val="auto"/>
          <w:highlight w:val="none"/>
          <w:lang w:val="en-US" w:eastAsia="zh-CN"/>
        </w:rPr>
      </w:pPr>
    </w:p>
    <w:p>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Chars="0"/>
        <w:jc w:val="left"/>
        <w:textAlignment w:val="auto"/>
        <w:outlineLvl w:val="9"/>
        <w:rPr>
          <w:rFonts w:hint="eastAsia" w:hAnsi="Times New Roman" w:cs="Times New Roman"/>
          <w:color w:val="auto"/>
          <w:highlight w:val="none"/>
          <w:lang w:val="en-US" w:eastAsia="zh-CN"/>
        </w:rPr>
      </w:pPr>
    </w:p>
    <w:p>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Chars="0"/>
        <w:jc w:val="left"/>
        <w:textAlignment w:val="auto"/>
        <w:outlineLvl w:val="9"/>
        <w:rPr>
          <w:rFonts w:hint="eastAsia" w:hAnsi="Times New Roman" w:cs="Times New Roman"/>
          <w:color w:val="auto"/>
          <w:highlight w:val="none"/>
          <w:lang w:val="en-US" w:eastAsia="zh-CN"/>
        </w:rPr>
      </w:pPr>
    </w:p>
    <w:p>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Chars="0"/>
        <w:jc w:val="left"/>
        <w:textAlignment w:val="auto"/>
        <w:outlineLvl w:val="9"/>
        <w:rPr>
          <w:rFonts w:hint="eastAsia" w:hAnsi="Times New Roman" w:cs="Times New Roman"/>
          <w:color w:val="auto"/>
          <w:highlight w:val="none"/>
          <w:lang w:val="en-US" w:eastAsia="zh-CN"/>
        </w:rPr>
      </w:pPr>
    </w:p>
    <w:p>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Chars="0"/>
        <w:jc w:val="left"/>
        <w:textAlignment w:val="auto"/>
        <w:outlineLvl w:val="9"/>
        <w:rPr>
          <w:rFonts w:hint="eastAsia" w:hAnsi="Times New Roman" w:cs="Times New Roman"/>
          <w:color w:val="auto"/>
          <w:highlight w:val="none"/>
          <w:lang w:val="en-US" w:eastAsia="zh-CN"/>
        </w:rPr>
      </w:pPr>
    </w:p>
    <w:p>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Chars="0"/>
        <w:jc w:val="left"/>
        <w:textAlignment w:val="auto"/>
        <w:outlineLvl w:val="9"/>
        <w:rPr>
          <w:rFonts w:hint="eastAsia" w:hAnsi="Times New Roman" w:cs="Times New Roman"/>
          <w:color w:val="auto"/>
          <w:highlight w:val="none"/>
          <w:lang w:val="en-US" w:eastAsia="zh-CN"/>
        </w:rPr>
      </w:pPr>
    </w:p>
    <w:p>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Chars="0"/>
        <w:jc w:val="left"/>
        <w:textAlignment w:val="auto"/>
        <w:outlineLvl w:val="9"/>
        <w:rPr>
          <w:rFonts w:hint="eastAsia" w:hAnsi="Times New Roman" w:cs="Times New Roman"/>
          <w:color w:val="auto"/>
          <w:highlight w:val="none"/>
          <w:lang w:val="en-US" w:eastAsia="zh-CN"/>
        </w:rPr>
      </w:pPr>
    </w:p>
    <w:p>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Chars="0"/>
        <w:jc w:val="left"/>
        <w:textAlignment w:val="auto"/>
        <w:outlineLvl w:val="9"/>
        <w:rPr>
          <w:rFonts w:hint="eastAsia" w:hAnsi="Times New Roman" w:cs="Times New Roman"/>
          <w:color w:val="auto"/>
          <w:highlight w:val="none"/>
          <w:lang w:val="en-US" w:eastAsia="zh-CN"/>
        </w:rPr>
      </w:pPr>
    </w:p>
    <w:p>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Chars="0"/>
        <w:jc w:val="left"/>
        <w:textAlignment w:val="auto"/>
        <w:outlineLvl w:val="9"/>
        <w:rPr>
          <w:rFonts w:hint="eastAsia" w:hAnsi="Times New Roman" w:cs="Times New Roman"/>
          <w:color w:val="auto"/>
          <w:highlight w:val="none"/>
          <w:lang w:val="en-US" w:eastAsia="zh-CN"/>
        </w:rPr>
      </w:pPr>
    </w:p>
    <w:p>
      <w:pPr>
        <w:pStyle w:val="2"/>
        <w:keepNext w:val="0"/>
        <w:keepLines w:val="0"/>
        <w:pageBreakBefore/>
        <w:spacing w:line="240" w:lineRule="auto"/>
        <w:jc w:val="center"/>
        <w:rPr>
          <w:rFonts w:hint="eastAsia" w:ascii="Times New Roman" w:hAnsi="Times New Roman" w:eastAsia="宋体" w:cs="Times New Roman"/>
          <w:sz w:val="30"/>
          <w:highlight w:val="none"/>
          <w:lang w:val="en-US" w:eastAsia="zh-CN"/>
        </w:rPr>
      </w:pPr>
      <w:bookmarkStart w:id="83" w:name="_Toc29597"/>
      <w:r>
        <w:rPr>
          <w:rFonts w:hint="eastAsia" w:ascii="Times New Roman" w:hAnsi="Times New Roman" w:eastAsia="宋体" w:cs="Times New Roman"/>
          <w:sz w:val="30"/>
          <w:highlight w:val="none"/>
          <w:lang w:val="en-US" w:eastAsia="zh-CN"/>
        </w:rPr>
        <w:t xml:space="preserve">7  </w:t>
      </w:r>
      <w:r>
        <w:rPr>
          <w:rFonts w:hint="eastAsia" w:ascii="Times New Roman" w:hAnsi="Times New Roman" w:eastAsia="宋体" w:cs="Times New Roman"/>
          <w:b w:val="0"/>
          <w:bCs w:val="0"/>
          <w:sz w:val="30"/>
          <w:highlight w:val="none"/>
          <w:lang w:val="en-US" w:eastAsia="zh-CN"/>
        </w:rPr>
        <w:t>综</w:t>
      </w:r>
      <w:r>
        <w:rPr>
          <w:rFonts w:hint="eastAsia" w:cs="Times New Roman"/>
          <w:b w:val="0"/>
          <w:bCs w:val="0"/>
          <w:sz w:val="30"/>
          <w:highlight w:val="none"/>
          <w:lang w:val="en-US" w:eastAsia="zh-CN"/>
        </w:rPr>
        <w:t xml:space="preserve">  </w:t>
      </w:r>
      <w:r>
        <w:rPr>
          <w:rFonts w:hint="eastAsia" w:ascii="Times New Roman" w:hAnsi="Times New Roman" w:eastAsia="宋体" w:cs="Times New Roman"/>
          <w:b w:val="0"/>
          <w:bCs w:val="0"/>
          <w:sz w:val="30"/>
          <w:highlight w:val="none"/>
          <w:lang w:val="en-US" w:eastAsia="zh-CN"/>
        </w:rPr>
        <w:t>合</w:t>
      </w:r>
      <w:r>
        <w:rPr>
          <w:rFonts w:hint="eastAsia" w:cs="Times New Roman"/>
          <w:b w:val="0"/>
          <w:bCs w:val="0"/>
          <w:sz w:val="30"/>
          <w:highlight w:val="none"/>
          <w:lang w:val="en-US" w:eastAsia="zh-CN"/>
        </w:rPr>
        <w:t xml:space="preserve">  </w:t>
      </w:r>
      <w:r>
        <w:rPr>
          <w:rFonts w:hint="eastAsia" w:ascii="Times New Roman" w:hAnsi="Times New Roman" w:eastAsia="宋体" w:cs="Times New Roman"/>
          <w:b w:val="0"/>
          <w:bCs w:val="0"/>
          <w:sz w:val="30"/>
          <w:highlight w:val="none"/>
          <w:lang w:val="en-US" w:eastAsia="zh-CN"/>
        </w:rPr>
        <w:t>服</w:t>
      </w:r>
      <w:r>
        <w:rPr>
          <w:rFonts w:hint="eastAsia" w:cs="Times New Roman"/>
          <w:b w:val="0"/>
          <w:bCs w:val="0"/>
          <w:sz w:val="30"/>
          <w:highlight w:val="none"/>
          <w:lang w:val="en-US" w:eastAsia="zh-CN"/>
        </w:rPr>
        <w:t xml:space="preserve">  </w:t>
      </w:r>
      <w:r>
        <w:rPr>
          <w:rFonts w:hint="eastAsia" w:ascii="Times New Roman" w:hAnsi="Times New Roman" w:eastAsia="宋体" w:cs="Times New Roman"/>
          <w:b w:val="0"/>
          <w:bCs w:val="0"/>
          <w:sz w:val="30"/>
          <w:highlight w:val="none"/>
          <w:lang w:val="en-US" w:eastAsia="zh-CN"/>
        </w:rPr>
        <w:t>务</w:t>
      </w:r>
      <w:bookmarkEnd w:id="82"/>
      <w:bookmarkEnd w:id="83"/>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84" w:name="_Toc22572"/>
      <w:bookmarkStart w:id="85" w:name="_Toc3137"/>
      <w:r>
        <w:rPr>
          <w:rFonts w:hint="eastAsia" w:ascii="宋体" w:hAnsi="宋体" w:eastAsia="宋体" w:cs="宋体"/>
          <w:b/>
          <w:bCs/>
          <w:color w:val="auto"/>
          <w:sz w:val="24"/>
          <w:szCs w:val="24"/>
          <w:highlight w:val="none"/>
          <w:lang w:val="en-US" w:eastAsia="zh-CN"/>
        </w:rPr>
        <w:t>7.1  客户服务</w:t>
      </w:r>
      <w:bookmarkEnd w:id="84"/>
      <w:bookmarkEnd w:id="85"/>
      <w:r>
        <w:rPr>
          <w:rFonts w:hint="eastAsia" w:ascii="宋体" w:hAnsi="宋体" w:eastAsia="宋体" w:cs="宋体"/>
          <w:b/>
          <w:bCs/>
          <w:color w:val="auto"/>
          <w:sz w:val="24"/>
          <w:szCs w:val="24"/>
          <w:highlight w:val="none"/>
          <w:lang w:val="en-US" w:eastAsia="zh-CN"/>
        </w:rPr>
        <w:t>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ascii="宋体" w:hAnsi="宋体" w:eastAsia="宋体" w:cs="宋体"/>
          <w:b/>
          <w:bCs/>
          <w:color w:val="auto"/>
          <w:sz w:val="24"/>
          <w:szCs w:val="24"/>
          <w:highlight w:val="none"/>
          <w:lang w:val="en-US" w:eastAsia="zh-CN"/>
        </w:rPr>
      </w:pPr>
      <w:bookmarkStart w:id="86" w:name="_Toc10689"/>
      <w:r>
        <w:rPr>
          <w:rFonts w:hint="eastAsia" w:ascii="宋体" w:hAnsi="宋体" w:eastAsia="宋体" w:cs="宋体"/>
          <w:b/>
          <w:bCs/>
          <w:color w:val="auto"/>
          <w:sz w:val="24"/>
          <w:szCs w:val="24"/>
          <w:highlight w:val="none"/>
          <w:lang w:val="en-US" w:eastAsia="zh-CN"/>
        </w:rPr>
        <w:t>7.1.1  前台服务</w:t>
      </w:r>
      <w:bookmarkEnd w:id="8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黑体" w:cs="Times New Roman"/>
          <w:b/>
          <w:bCs/>
          <w:i w:val="0"/>
          <w:color w:val="auto"/>
          <w:sz w:val="24"/>
          <w:szCs w:val="24"/>
          <w:highlight w:val="none"/>
          <w:lang w:val="en-US" w:eastAsia="zh-CN" w:bidi="ar-SA"/>
        </w:rPr>
        <w:t>7.1.1.1</w:t>
      </w:r>
      <w:r>
        <w:rPr>
          <w:rFonts w:hint="default" w:ascii="Times New Roman" w:hAnsi="Times New Roman" w:eastAsia="黑体" w:cs="Times New Roman"/>
          <w:b w:val="0"/>
          <w:i w:val="0"/>
          <w:color w:val="auto"/>
          <w:sz w:val="24"/>
          <w:szCs w:val="24"/>
          <w:highlight w:val="none"/>
          <w:lang w:val="en-US" w:eastAsia="zh-CN" w:bidi="ar-SA"/>
        </w:rPr>
        <w:t xml:space="preserve">  </w:t>
      </w:r>
      <w:r>
        <w:rPr>
          <w:rFonts w:hint="default" w:ascii="Times New Roman" w:hAnsi="Times New Roman" w:eastAsia="宋体" w:cs="Times New Roman"/>
          <w:color w:val="auto"/>
          <w:sz w:val="24"/>
          <w:szCs w:val="24"/>
          <w:highlight w:val="none"/>
          <w:lang w:val="en-US" w:eastAsia="zh-CN"/>
        </w:rPr>
        <w:t xml:space="preserve">有人服务的前台，应提供包括但不限于：访客指引、咨询、登记和报事报修服务等。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黑体" w:cs="Times New Roman"/>
          <w:b/>
          <w:bCs/>
          <w:i w:val="0"/>
          <w:color w:val="auto"/>
          <w:sz w:val="24"/>
          <w:szCs w:val="24"/>
          <w:highlight w:val="none"/>
          <w:lang w:val="en-US" w:eastAsia="zh-CN" w:bidi="ar-SA"/>
        </w:rPr>
        <w:t>7.1.1.2</w:t>
      </w:r>
      <w:r>
        <w:rPr>
          <w:rFonts w:hint="default" w:ascii="Times New Roman" w:hAnsi="Times New Roman" w:eastAsia="黑体" w:cs="Times New Roman"/>
          <w:b w:val="0"/>
          <w:i w:val="0"/>
          <w:color w:val="auto"/>
          <w:sz w:val="24"/>
          <w:szCs w:val="24"/>
          <w:highlight w:val="none"/>
          <w:lang w:val="en-US" w:eastAsia="zh-CN" w:bidi="ar-SA"/>
        </w:rPr>
        <w:t xml:space="preserve">  </w:t>
      </w:r>
      <w:r>
        <w:rPr>
          <w:rFonts w:hint="default" w:ascii="Times New Roman" w:hAnsi="Times New Roman" w:eastAsia="宋体" w:cs="Times New Roman"/>
          <w:color w:val="auto"/>
          <w:sz w:val="24"/>
          <w:szCs w:val="24"/>
          <w:highlight w:val="none"/>
          <w:lang w:val="en-US" w:eastAsia="zh-CN"/>
        </w:rPr>
        <w:t>上下班高峰期或重要接待时现场提供秩序维护服务。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黑体" w:cs="Times New Roman"/>
          <w:b/>
          <w:bCs/>
          <w:i w:val="0"/>
          <w:color w:val="auto"/>
          <w:sz w:val="24"/>
          <w:szCs w:val="24"/>
          <w:highlight w:val="none"/>
          <w:lang w:val="en-US" w:eastAsia="zh-CN" w:bidi="ar-SA"/>
        </w:rPr>
        <w:t xml:space="preserve">7.1.1.3 </w:t>
      </w:r>
      <w:r>
        <w:rPr>
          <w:rFonts w:hint="default" w:ascii="Times New Roman" w:hAnsi="Times New Roman" w:eastAsia="黑体" w:cs="Times New Roman"/>
          <w:b w:val="0"/>
          <w:i w:val="0"/>
          <w:color w:val="auto"/>
          <w:sz w:val="24"/>
          <w:szCs w:val="24"/>
          <w:highlight w:val="none"/>
          <w:lang w:val="en-US" w:eastAsia="zh-CN" w:bidi="ar-SA"/>
        </w:rPr>
        <w:t xml:space="preserve"> </w:t>
      </w:r>
      <w:r>
        <w:rPr>
          <w:rFonts w:hint="default" w:ascii="Times New Roman" w:hAnsi="Times New Roman" w:eastAsia="宋体" w:cs="Times New Roman"/>
          <w:color w:val="auto"/>
          <w:sz w:val="24"/>
          <w:szCs w:val="24"/>
          <w:highlight w:val="none"/>
          <w:lang w:val="en-US" w:eastAsia="zh-CN"/>
        </w:rPr>
        <w:t>前</w:t>
      </w:r>
      <w:r>
        <w:rPr>
          <w:rFonts w:hint="default" w:ascii="Times New Roman" w:hAnsi="Times New Roman" w:eastAsia="宋体" w:cs="Times New Roman"/>
          <w:color w:val="auto"/>
          <w:kern w:val="2"/>
          <w:sz w:val="24"/>
          <w:szCs w:val="24"/>
          <w:highlight w:val="none"/>
          <w:lang w:val="en-US" w:eastAsia="zh-CN" w:bidi="ar-SA"/>
        </w:rPr>
        <w:t>台人员暂</w:t>
      </w:r>
      <w:r>
        <w:rPr>
          <w:rFonts w:hint="eastAsia" w:ascii="Times New Roman" w:hAnsi="Times New Roman" w:cs="Times New Roman"/>
          <w:color w:val="auto"/>
          <w:kern w:val="2"/>
          <w:sz w:val="24"/>
          <w:szCs w:val="24"/>
          <w:highlight w:val="none"/>
          <w:lang w:val="en-US" w:eastAsia="zh-CN" w:bidi="ar-SA"/>
        </w:rPr>
        <w:t>时</w:t>
      </w:r>
      <w:r>
        <w:rPr>
          <w:rFonts w:hint="default" w:ascii="Times New Roman" w:hAnsi="Times New Roman" w:eastAsia="宋体" w:cs="Times New Roman"/>
          <w:color w:val="auto"/>
          <w:kern w:val="2"/>
          <w:sz w:val="24"/>
          <w:szCs w:val="24"/>
          <w:highlight w:val="none"/>
          <w:lang w:val="en-US" w:eastAsia="zh-CN" w:bidi="ar-SA"/>
        </w:rPr>
        <w:t>离开应该有信息提示，有服务临时补充措施。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ascii="宋体" w:hAnsi="宋体" w:eastAsia="宋体" w:cs="宋体"/>
          <w:b/>
          <w:bCs/>
          <w:color w:val="auto"/>
          <w:sz w:val="24"/>
          <w:szCs w:val="24"/>
          <w:highlight w:val="none"/>
          <w:lang w:val="en-US" w:eastAsia="zh-CN"/>
        </w:rPr>
      </w:pPr>
      <w:bookmarkStart w:id="87" w:name="_Toc29228"/>
      <w:r>
        <w:rPr>
          <w:rFonts w:hint="eastAsia" w:ascii="宋体" w:hAnsi="宋体" w:eastAsia="宋体" w:cs="宋体"/>
          <w:b/>
          <w:bCs/>
          <w:color w:val="auto"/>
          <w:sz w:val="24"/>
          <w:szCs w:val="24"/>
          <w:highlight w:val="none"/>
          <w:lang w:val="en-US" w:eastAsia="zh-CN"/>
        </w:rPr>
        <w:t>7.1.2  会务服务</w:t>
      </w:r>
      <w:bookmarkEnd w:id="8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黑体" w:cs="Times New Roman"/>
          <w:b/>
          <w:bCs/>
          <w:i w:val="0"/>
          <w:color w:val="auto"/>
          <w:sz w:val="24"/>
          <w:szCs w:val="24"/>
          <w:highlight w:val="none"/>
          <w:lang w:val="en-US" w:eastAsia="zh-CN" w:bidi="ar-SA"/>
        </w:rPr>
        <w:t xml:space="preserve">7.1.2.1 </w:t>
      </w:r>
      <w:r>
        <w:rPr>
          <w:rFonts w:hint="eastAsia" w:ascii="Times New Roman" w:hAnsi="Times New Roman" w:eastAsia="宋体" w:cs="Times New Roman"/>
          <w:color w:val="auto"/>
          <w:sz w:val="24"/>
          <w:szCs w:val="24"/>
          <w:highlight w:val="none"/>
          <w:lang w:val="en-US" w:eastAsia="zh-CN"/>
        </w:rPr>
        <w:t xml:space="preserve"> 应建立健全的会议服务管理制度，会务服务申请流程及会务服务流程等制度。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黑体" w:cs="Times New Roman"/>
          <w:b/>
          <w:bCs/>
          <w:i w:val="0"/>
          <w:color w:val="auto"/>
          <w:sz w:val="24"/>
          <w:szCs w:val="24"/>
          <w:highlight w:val="none"/>
          <w:lang w:val="en-US" w:eastAsia="zh-CN" w:bidi="ar-SA"/>
        </w:rPr>
        <w:t xml:space="preserve">7.1.2.2 </w:t>
      </w:r>
      <w:r>
        <w:rPr>
          <w:rFonts w:hint="eastAsia" w:ascii="Times New Roman" w:hAnsi="Times New Roman" w:eastAsia="宋体" w:cs="Times New Roman"/>
          <w:color w:val="auto"/>
          <w:sz w:val="24"/>
          <w:szCs w:val="24"/>
          <w:highlight w:val="none"/>
          <w:lang w:val="en-US" w:eastAsia="zh-CN"/>
        </w:rPr>
        <w:t xml:space="preserve"> 会前应核对服务信息，检查会场设备设施，确保设备设施正常启用，所需物品配置齐全。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黑体" w:cs="Times New Roman"/>
          <w:b/>
          <w:bCs/>
          <w:i w:val="0"/>
          <w:color w:val="auto"/>
          <w:sz w:val="24"/>
          <w:szCs w:val="24"/>
          <w:highlight w:val="none"/>
          <w:lang w:val="en-US" w:eastAsia="zh-CN" w:bidi="ar-SA"/>
        </w:rPr>
        <w:t>7.1.2.3</w:t>
      </w:r>
      <w:r>
        <w:rPr>
          <w:rFonts w:hint="eastAsia" w:ascii="Times New Roman" w:hAnsi="Times New Roman" w:eastAsia="宋体" w:cs="Times New Roman"/>
          <w:color w:val="auto"/>
          <w:sz w:val="24"/>
          <w:szCs w:val="24"/>
          <w:highlight w:val="none"/>
          <w:lang w:val="en-US" w:eastAsia="zh-CN"/>
        </w:rPr>
        <w:t xml:space="preserve">  会前应提供但不限于：会场布置、迎宾、咨询、指引入座和及时通报相关服务信息等。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黑体" w:cs="Times New Roman"/>
          <w:b/>
          <w:bCs/>
          <w:i w:val="0"/>
          <w:color w:val="auto"/>
          <w:sz w:val="24"/>
          <w:szCs w:val="24"/>
          <w:highlight w:val="none"/>
          <w:lang w:val="en-US" w:eastAsia="zh-CN" w:bidi="ar-SA"/>
        </w:rPr>
        <w:t xml:space="preserve">7.1.2.4 </w:t>
      </w:r>
      <w:r>
        <w:rPr>
          <w:rFonts w:hint="eastAsia" w:ascii="Times New Roman" w:hAnsi="Times New Roman" w:eastAsia="宋体" w:cs="Times New Roman"/>
          <w:color w:val="auto"/>
          <w:sz w:val="24"/>
          <w:szCs w:val="24"/>
          <w:highlight w:val="none"/>
          <w:lang w:val="en-US" w:eastAsia="zh-CN"/>
        </w:rPr>
        <w:t xml:space="preserve"> 会议期间茶水及时补充，监控音响、灯光、通风空调运行正常，对周边环境进行管控。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黑体" w:cs="Times New Roman"/>
          <w:b/>
          <w:bCs/>
          <w:i w:val="0"/>
          <w:color w:val="auto"/>
          <w:sz w:val="24"/>
          <w:szCs w:val="24"/>
          <w:highlight w:val="none"/>
          <w:lang w:val="en-US" w:eastAsia="zh-CN" w:bidi="ar-SA"/>
        </w:rPr>
        <w:t xml:space="preserve">7.1.2.5 </w:t>
      </w:r>
      <w:r>
        <w:rPr>
          <w:rFonts w:hint="eastAsia" w:ascii="Times New Roman" w:hAnsi="Times New Roman" w:eastAsia="宋体" w:cs="Times New Roman"/>
          <w:color w:val="auto"/>
          <w:sz w:val="24"/>
          <w:szCs w:val="24"/>
          <w:highlight w:val="none"/>
          <w:lang w:val="en-US" w:eastAsia="zh-CN"/>
        </w:rPr>
        <w:t xml:space="preserve"> 会后礼貌引领送客，通报结束信息，检查有无遗漏物品。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黑体" w:cs="Times New Roman"/>
          <w:b/>
          <w:bCs/>
          <w:i w:val="0"/>
          <w:color w:val="auto"/>
          <w:sz w:val="24"/>
          <w:szCs w:val="24"/>
          <w:highlight w:val="none"/>
          <w:lang w:val="en-US" w:eastAsia="zh-CN" w:bidi="ar-SA"/>
        </w:rPr>
        <w:t xml:space="preserve">7.1.2.6  </w:t>
      </w:r>
      <w:r>
        <w:rPr>
          <w:rFonts w:hint="eastAsia" w:ascii="Times New Roman" w:hAnsi="Times New Roman" w:eastAsia="宋体" w:cs="Times New Roman"/>
          <w:color w:val="auto"/>
          <w:sz w:val="24"/>
          <w:szCs w:val="24"/>
          <w:highlight w:val="none"/>
          <w:lang w:val="en-US" w:eastAsia="zh-CN"/>
        </w:rPr>
        <w:t>安排现场清理清洁及恢复原样，最后关停设备、关门窗上锁。</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88" w:name="_Toc28823"/>
      <w:bookmarkStart w:id="89" w:name="_Toc31710"/>
      <w:r>
        <w:rPr>
          <w:rFonts w:hint="eastAsia" w:ascii="宋体" w:hAnsi="宋体" w:eastAsia="宋体" w:cs="宋体"/>
          <w:b/>
          <w:bCs/>
          <w:color w:val="auto"/>
          <w:sz w:val="24"/>
          <w:szCs w:val="24"/>
          <w:highlight w:val="none"/>
          <w:lang w:val="en-US" w:eastAsia="zh-CN"/>
        </w:rPr>
        <w:t>7.2  报事报修</w:t>
      </w:r>
      <w:bookmarkEnd w:id="88"/>
    </w:p>
    <w:bookmarkEnd w:id="89"/>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黑体" w:cs="Times New Roman"/>
          <w:b/>
          <w:bCs/>
          <w:i w:val="0"/>
          <w:color w:val="auto"/>
          <w:sz w:val="24"/>
          <w:szCs w:val="24"/>
          <w:highlight w:val="none"/>
          <w:lang w:val="en-US" w:eastAsia="zh-CN" w:bidi="ar-SA"/>
        </w:rPr>
        <w:t xml:space="preserve">7.2.1 </w:t>
      </w:r>
      <w:r>
        <w:rPr>
          <w:rFonts w:hint="eastAsia" w:ascii="Times New Roman" w:hAnsi="Times New Roman" w:eastAsia="宋体" w:cs="Times New Roman"/>
          <w:color w:val="auto"/>
          <w:sz w:val="24"/>
          <w:szCs w:val="24"/>
          <w:highlight w:val="none"/>
          <w:lang w:val="en-US" w:eastAsia="zh-CN"/>
        </w:rPr>
        <w:t xml:space="preserve"> 应建立报事报修制度和投诉管理制度并严格执行，主要内容包括但不限于以下内容：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0"/>
        <w:rPr>
          <w:rFonts w:hint="eastAsia" w:ascii="Times New Roman" w:hAnsi="Times New Roman" w:eastAsia="宋体" w:cs="Times New Roman"/>
          <w:color w:val="auto"/>
          <w:sz w:val="24"/>
          <w:szCs w:val="24"/>
          <w:highlight w:val="none"/>
          <w:lang w:val="en-US" w:eastAsia="zh-CN"/>
        </w:rPr>
      </w:pPr>
      <w:bookmarkStart w:id="90" w:name="_Toc32514"/>
      <w:r>
        <w:rPr>
          <w:rFonts w:hint="eastAsia" w:ascii="Times New Roman" w:hAnsi="Times New Roman" w:eastAsia="宋体" w:cs="Times New Roman"/>
          <w:color w:val="auto"/>
          <w:sz w:val="24"/>
          <w:szCs w:val="24"/>
          <w:highlight w:val="none"/>
          <w:lang w:val="en-US" w:eastAsia="zh-CN"/>
        </w:rPr>
        <w:t>1  应设置并公示联系方式,设立24小时服务电话；</w:t>
      </w:r>
      <w:bookmarkEnd w:id="9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  做好报事报修、投诉的时间、事项、响应时间 、到场时间、处理结果、回访等内容等；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0"/>
        <w:rPr>
          <w:rFonts w:hint="eastAsia" w:ascii="Times New Roman" w:hAnsi="Times New Roman" w:eastAsia="宋体" w:cs="Times New Roman"/>
          <w:color w:val="auto"/>
          <w:sz w:val="24"/>
          <w:szCs w:val="24"/>
          <w:highlight w:val="none"/>
          <w:lang w:val="en-US" w:eastAsia="zh-CN"/>
        </w:rPr>
      </w:pPr>
      <w:bookmarkStart w:id="91" w:name="_Toc17585"/>
      <w:r>
        <w:rPr>
          <w:rFonts w:hint="eastAsia" w:ascii="Times New Roman" w:hAnsi="Times New Roman" w:eastAsia="宋体" w:cs="Times New Roman"/>
          <w:color w:val="auto"/>
          <w:sz w:val="24"/>
          <w:szCs w:val="24"/>
          <w:highlight w:val="none"/>
          <w:lang w:val="en-US" w:eastAsia="zh-CN"/>
        </w:rPr>
        <w:t>3  明确维修责任或属于非责任性投诉的，在记录中载明；</w:t>
      </w:r>
      <w:bookmarkEnd w:id="9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  接报后应及时记录事项并需在20分钟内做出响应（另有约定除外）；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  接到投诉后，应在2小时内向投诉人反馈处理情况。属于责任性投诉的，物业服务企业应及时与投诉人沟通并进行整改，制定预防纠正措施，改善服务品质；属于非责任性投诉的，向投诉人说明责任范围并在职责范围内提供必要协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0"/>
        <w:rPr>
          <w:rFonts w:hint="eastAsia" w:ascii="Times New Roman" w:hAnsi="Times New Roman" w:eastAsia="宋体" w:cs="Times New Roman"/>
          <w:color w:val="auto"/>
          <w:sz w:val="24"/>
          <w:szCs w:val="24"/>
          <w:highlight w:val="none"/>
          <w:lang w:val="en-US" w:eastAsia="zh-CN"/>
        </w:rPr>
      </w:pPr>
      <w:bookmarkStart w:id="92" w:name="_Toc14085"/>
      <w:r>
        <w:rPr>
          <w:rFonts w:hint="eastAsia" w:ascii="Times New Roman" w:hAnsi="Times New Roman" w:eastAsia="宋体" w:cs="Times New Roman"/>
          <w:color w:val="auto"/>
          <w:sz w:val="24"/>
          <w:szCs w:val="24"/>
          <w:highlight w:val="none"/>
          <w:lang w:val="en-US" w:eastAsia="zh-CN"/>
        </w:rPr>
        <w:t>6  处理完成后形成完整记录并档案。</w:t>
      </w:r>
      <w:bookmarkEnd w:id="92"/>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93" w:name="_Toc4950"/>
      <w:bookmarkStart w:id="94" w:name="_Toc330"/>
      <w:r>
        <w:rPr>
          <w:rFonts w:hint="eastAsia" w:ascii="宋体" w:hAnsi="宋体" w:eastAsia="宋体" w:cs="宋体"/>
          <w:b/>
          <w:bCs/>
          <w:color w:val="auto"/>
          <w:sz w:val="24"/>
          <w:szCs w:val="24"/>
          <w:highlight w:val="none"/>
          <w:lang w:val="en-US" w:eastAsia="zh-CN"/>
        </w:rPr>
        <w:t>7.3  装修/施工监管服务</w:t>
      </w:r>
      <w:bookmarkEnd w:id="93"/>
    </w:p>
    <w:bookmarkEnd w:id="94"/>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黑体" w:cs="Times New Roman"/>
          <w:b/>
          <w:bCs/>
          <w:i w:val="0"/>
          <w:color w:val="auto"/>
          <w:sz w:val="24"/>
          <w:szCs w:val="24"/>
          <w:highlight w:val="none"/>
          <w:lang w:val="en-US" w:eastAsia="zh-CN" w:bidi="ar-SA"/>
        </w:rPr>
        <w:t xml:space="preserve">7.3.1 </w:t>
      </w:r>
      <w:r>
        <w:rPr>
          <w:rFonts w:hint="eastAsia" w:ascii="Times New Roman" w:hAnsi="Times New Roman" w:eastAsia="宋体" w:cs="Times New Roman"/>
          <w:color w:val="auto"/>
          <w:sz w:val="24"/>
          <w:szCs w:val="24"/>
          <w:highlight w:val="none"/>
          <w:lang w:val="en-US" w:eastAsia="zh-CN"/>
        </w:rPr>
        <w:t xml:space="preserve"> 应建立装修施工管理制度，包括：装修施工动火作业管理规程、装修施工管理制度、室内空调安装管理制度 ，消防测试管理规定等。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黑体" w:cs="Times New Roman"/>
          <w:b/>
          <w:bCs/>
          <w:i w:val="0"/>
          <w:color w:val="auto"/>
          <w:sz w:val="24"/>
          <w:szCs w:val="24"/>
          <w:highlight w:val="none"/>
          <w:lang w:val="en-US" w:eastAsia="zh-CN" w:bidi="ar-SA"/>
        </w:rPr>
        <w:t xml:space="preserve">7.3.2 </w:t>
      </w:r>
      <w:r>
        <w:rPr>
          <w:rFonts w:hint="eastAsia" w:ascii="Times New Roman" w:hAnsi="Times New Roman" w:eastAsia="宋体" w:cs="Times New Roman"/>
          <w:color w:val="auto"/>
          <w:sz w:val="24"/>
          <w:szCs w:val="24"/>
          <w:highlight w:val="none"/>
          <w:lang w:val="en-US" w:eastAsia="zh-CN"/>
        </w:rPr>
        <w:t xml:space="preserve"> 按规定办理装修施工申请、装修施工协议、消防安全责任书，将装修施工禁止行为和注意事项告知使用单位和施工单位。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黑体" w:cs="Times New Roman"/>
          <w:b/>
          <w:bCs/>
          <w:i w:val="0"/>
          <w:color w:val="auto"/>
          <w:sz w:val="24"/>
          <w:szCs w:val="24"/>
          <w:highlight w:val="none"/>
          <w:lang w:val="en-US" w:eastAsia="zh-CN" w:bidi="ar-SA"/>
        </w:rPr>
        <w:t xml:space="preserve">7.3.3 </w:t>
      </w:r>
      <w:r>
        <w:rPr>
          <w:rFonts w:hint="eastAsia" w:ascii="Times New Roman" w:hAnsi="Times New Roman" w:eastAsia="宋体" w:cs="Times New Roman"/>
          <w:color w:val="auto"/>
          <w:sz w:val="24"/>
          <w:szCs w:val="24"/>
          <w:highlight w:val="none"/>
          <w:lang w:val="en-US" w:eastAsia="zh-CN"/>
        </w:rPr>
        <w:t xml:space="preserve"> 特种作业人员持证上岗，无动火许可证应立即阻止施工。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黑体" w:cs="Times New Roman"/>
          <w:b/>
          <w:bCs/>
          <w:i w:val="0"/>
          <w:color w:val="auto"/>
          <w:sz w:val="24"/>
          <w:szCs w:val="24"/>
          <w:highlight w:val="none"/>
          <w:lang w:val="en-US" w:eastAsia="zh-CN" w:bidi="ar-SA"/>
        </w:rPr>
        <w:t xml:space="preserve">7.3.4 </w:t>
      </w:r>
      <w:r>
        <w:rPr>
          <w:rFonts w:hint="eastAsia" w:ascii="Times New Roman" w:hAnsi="Times New Roman" w:eastAsia="宋体" w:cs="Times New Roman"/>
          <w:color w:val="auto"/>
          <w:sz w:val="24"/>
          <w:szCs w:val="24"/>
          <w:highlight w:val="none"/>
          <w:lang w:val="en-US" w:eastAsia="zh-CN"/>
        </w:rPr>
        <w:t xml:space="preserve"> 定期对装修施工现场进行巡查，监督管理现场安全作业，及时阻止违规行为。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黑体" w:cs="Times New Roman"/>
          <w:b/>
          <w:bCs/>
          <w:i w:val="0"/>
          <w:color w:val="auto"/>
          <w:sz w:val="24"/>
          <w:szCs w:val="24"/>
          <w:highlight w:val="none"/>
          <w:lang w:val="en-US" w:eastAsia="zh-CN" w:bidi="ar-SA"/>
        </w:rPr>
        <w:t xml:space="preserve">7.3.5 </w:t>
      </w:r>
      <w:r>
        <w:rPr>
          <w:rFonts w:hint="eastAsia" w:ascii="Times New Roman" w:hAnsi="Times New Roman" w:eastAsia="宋体" w:cs="Times New Roman"/>
          <w:color w:val="auto"/>
          <w:sz w:val="24"/>
          <w:szCs w:val="24"/>
          <w:highlight w:val="none"/>
          <w:lang w:val="en-US" w:eastAsia="zh-CN"/>
        </w:rPr>
        <w:t xml:space="preserve"> 装修施工涉及使用共用通道、区域、设施设备要做好现场（成品）保护措施。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黑体" w:cs="Times New Roman"/>
          <w:b/>
          <w:bCs/>
          <w:i w:val="0"/>
          <w:color w:val="auto"/>
          <w:sz w:val="24"/>
          <w:szCs w:val="24"/>
          <w:highlight w:val="none"/>
          <w:lang w:val="en-US" w:eastAsia="zh-CN" w:bidi="ar-SA"/>
        </w:rPr>
        <w:t xml:space="preserve">7.3.6  </w:t>
      </w:r>
      <w:r>
        <w:rPr>
          <w:rFonts w:hint="eastAsia" w:ascii="Times New Roman" w:hAnsi="Times New Roman" w:eastAsia="宋体" w:cs="Times New Roman"/>
          <w:color w:val="auto"/>
          <w:sz w:val="24"/>
          <w:szCs w:val="24"/>
          <w:highlight w:val="none"/>
          <w:lang w:val="en-US" w:eastAsia="zh-CN"/>
        </w:rPr>
        <w:t>监督装修施工现场按要求做好防火安全措施和公共环境管理工作。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黑体" w:cs="Times New Roman"/>
          <w:b/>
          <w:bCs/>
          <w:i w:val="0"/>
          <w:color w:val="auto"/>
          <w:sz w:val="24"/>
          <w:szCs w:val="24"/>
          <w:highlight w:val="none"/>
          <w:lang w:val="en-US" w:eastAsia="zh-CN" w:bidi="ar-SA"/>
        </w:rPr>
        <w:t xml:space="preserve">7.3.7 </w:t>
      </w:r>
      <w:r>
        <w:rPr>
          <w:rFonts w:hint="eastAsia" w:ascii="Times New Roman" w:hAnsi="Times New Roman" w:eastAsia="宋体" w:cs="Times New Roman"/>
          <w:color w:val="auto"/>
          <w:sz w:val="24"/>
          <w:szCs w:val="24"/>
          <w:highlight w:val="none"/>
          <w:lang w:val="en-US" w:eastAsia="zh-CN"/>
        </w:rPr>
        <w:t xml:space="preserve"> 做好防水施工过程监管和验收工作。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黑体" w:cs="Times New Roman"/>
          <w:b/>
          <w:bCs/>
          <w:i w:val="0"/>
          <w:color w:val="auto"/>
          <w:sz w:val="24"/>
          <w:szCs w:val="24"/>
          <w:highlight w:val="none"/>
          <w:lang w:val="en-US" w:eastAsia="zh-CN" w:bidi="ar-SA"/>
        </w:rPr>
        <w:t xml:space="preserve">7.3.8 </w:t>
      </w:r>
      <w:r>
        <w:rPr>
          <w:rFonts w:hint="eastAsia" w:ascii="Times New Roman" w:hAnsi="Times New Roman" w:eastAsia="宋体" w:cs="Times New Roman"/>
          <w:color w:val="auto"/>
          <w:sz w:val="24"/>
          <w:szCs w:val="24"/>
          <w:highlight w:val="none"/>
          <w:lang w:val="en-US" w:eastAsia="zh-CN"/>
        </w:rPr>
        <w:t xml:space="preserve"> 装修施工方案及图纸、现场巡查记录、整改意见、查验记录、竣工验收等资料记录完整并存档。</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eastAsia="宋体" w:cs="宋体"/>
          <w:b/>
          <w:bCs/>
          <w:color w:val="auto"/>
          <w:sz w:val="24"/>
          <w:szCs w:val="24"/>
          <w:highlight w:val="none"/>
          <w:lang w:val="en-US" w:eastAsia="zh-CN"/>
        </w:rPr>
      </w:pPr>
      <w:bookmarkStart w:id="95" w:name="_Toc11304"/>
      <w:bookmarkStart w:id="96" w:name="_Toc32175"/>
      <w:r>
        <w:rPr>
          <w:rFonts w:hint="eastAsia" w:ascii="宋体" w:hAnsi="宋体" w:eastAsia="宋体" w:cs="宋体"/>
          <w:b/>
          <w:bCs/>
          <w:color w:val="auto"/>
          <w:sz w:val="24"/>
          <w:szCs w:val="24"/>
          <w:highlight w:val="none"/>
          <w:lang w:val="en-US" w:eastAsia="zh-CN"/>
        </w:rPr>
        <w:t>7.4　便民服务</w:t>
      </w:r>
      <w:bookmarkEnd w:id="95"/>
      <w:r>
        <w:rPr>
          <w:rFonts w:hint="eastAsia" w:ascii="宋体" w:hAnsi="宋体" w:eastAsia="宋体" w:cs="宋体"/>
          <w:b/>
          <w:bCs/>
          <w:color w:val="auto"/>
          <w:sz w:val="24"/>
          <w:szCs w:val="24"/>
          <w:highlight w:val="none"/>
          <w:lang w:val="en-US" w:eastAsia="zh-CN"/>
        </w:rPr>
        <w:t xml:space="preserve"> </w:t>
      </w:r>
      <w:r>
        <w:rPr>
          <w:rFonts w:hint="default" w:ascii="宋体" w:hAnsi="宋体" w:eastAsia="宋体" w:cs="宋体"/>
          <w:b/>
          <w:bCs/>
          <w:color w:val="auto"/>
          <w:sz w:val="24"/>
          <w:szCs w:val="24"/>
          <w:highlight w:val="none"/>
          <w:lang w:val="en-US" w:eastAsia="zh-CN"/>
        </w:rPr>
        <w:t xml:space="preserve"> </w:t>
      </w:r>
      <w:bookmarkEnd w:id="9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eastAsia="宋体" w:cs="Times New Roman"/>
          <w:color w:val="auto"/>
          <w:sz w:val="24"/>
          <w:szCs w:val="24"/>
          <w:highlight w:val="none"/>
          <w:lang w:val="en-US" w:eastAsia="zh-CN"/>
        </w:rPr>
      </w:pPr>
      <w:bookmarkStart w:id="97" w:name="_Toc2033"/>
      <w:r>
        <w:rPr>
          <w:rFonts w:hint="eastAsia" w:ascii="Times New Roman" w:hAnsi="Times New Roman" w:eastAsia="黑体" w:cs="Times New Roman"/>
          <w:b/>
          <w:bCs/>
          <w:i w:val="0"/>
          <w:color w:val="auto"/>
          <w:sz w:val="24"/>
          <w:szCs w:val="24"/>
          <w:highlight w:val="none"/>
          <w:lang w:val="en-US" w:eastAsia="zh-CN" w:bidi="ar-SA"/>
        </w:rPr>
        <w:t>7.4.1</w:t>
      </w:r>
      <w:bookmarkEnd w:id="97"/>
      <w:r>
        <w:rPr>
          <w:rFonts w:hint="eastAsia" w:ascii="Times New Roman" w:hAnsi="Times New Roman" w:eastAsia="黑体" w:cs="Times New Roman"/>
          <w:b/>
          <w:bCs/>
          <w:i w:val="0"/>
          <w:color w:val="auto"/>
          <w:sz w:val="24"/>
          <w:szCs w:val="24"/>
          <w:highlight w:val="none"/>
          <w:lang w:val="en-US" w:eastAsia="zh-CN" w:bidi="ar-SA"/>
        </w:rPr>
        <w:t xml:space="preserve"> </w:t>
      </w:r>
      <w:r>
        <w:rPr>
          <w:rFonts w:hint="eastAsia"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en-US" w:eastAsia="zh-CN"/>
        </w:rPr>
        <w:t>便民服务应针对</w:t>
      </w:r>
      <w:r>
        <w:rPr>
          <w:rFonts w:hint="eastAsia" w:ascii="Times New Roman" w:hAnsi="Times New Roman" w:eastAsia="宋体" w:cs="Times New Roman"/>
          <w:color w:val="auto"/>
          <w:sz w:val="24"/>
          <w:szCs w:val="24"/>
          <w:highlight w:val="none"/>
          <w:lang w:val="en-US" w:eastAsia="zh-CN"/>
        </w:rPr>
        <w:t>用户的</w:t>
      </w:r>
      <w:r>
        <w:rPr>
          <w:rFonts w:hint="default" w:ascii="Times New Roman" w:hAnsi="Times New Roman" w:eastAsia="宋体" w:cs="Times New Roman"/>
          <w:color w:val="auto"/>
          <w:sz w:val="24"/>
          <w:szCs w:val="24"/>
          <w:highlight w:val="none"/>
          <w:lang w:val="en-US" w:eastAsia="zh-CN"/>
        </w:rPr>
        <w:t>个性化需求</w:t>
      </w:r>
      <w:r>
        <w:rPr>
          <w:rFonts w:hint="eastAsia" w:ascii="Times New Roman" w:hAnsi="Times New Roman" w:eastAsia="宋体" w:cs="Times New Roman"/>
          <w:color w:val="auto"/>
          <w:sz w:val="24"/>
          <w:szCs w:val="24"/>
          <w:highlight w:val="none"/>
          <w:lang w:val="en-US" w:eastAsia="zh-CN"/>
        </w:rPr>
        <w:t>，满足以下要求</w:t>
      </w:r>
      <w:r>
        <w:rPr>
          <w:rFonts w:hint="default" w:ascii="Times New Roman" w:hAnsi="Times New Roman" w:eastAsia="宋体" w:cs="Times New Roman"/>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1  </w:t>
      </w:r>
      <w:r>
        <w:rPr>
          <w:rFonts w:hint="default" w:ascii="Times New Roman" w:hAnsi="Times New Roman" w:eastAsia="宋体" w:cs="Times New Roman"/>
          <w:color w:val="auto"/>
          <w:sz w:val="24"/>
          <w:szCs w:val="24"/>
          <w:highlight w:val="none"/>
          <w:lang w:val="en-US" w:eastAsia="zh-CN"/>
        </w:rPr>
        <w:t>便民服务</w:t>
      </w:r>
      <w:r>
        <w:rPr>
          <w:rFonts w:hint="eastAsia" w:ascii="Times New Roman" w:hAnsi="Times New Roman" w:eastAsia="宋体" w:cs="Times New Roman"/>
          <w:color w:val="auto"/>
          <w:sz w:val="24"/>
          <w:szCs w:val="24"/>
          <w:highlight w:val="none"/>
          <w:lang w:val="en-US" w:eastAsia="zh-CN"/>
        </w:rPr>
        <w:t>应</w:t>
      </w:r>
      <w:r>
        <w:rPr>
          <w:rFonts w:hint="default" w:ascii="Times New Roman" w:hAnsi="Times New Roman" w:eastAsia="宋体" w:cs="Times New Roman"/>
          <w:color w:val="auto"/>
          <w:sz w:val="24"/>
          <w:szCs w:val="24"/>
          <w:highlight w:val="none"/>
          <w:lang w:val="en-US" w:eastAsia="zh-CN"/>
        </w:rPr>
        <w:t>种类多样，</w:t>
      </w:r>
      <w:r>
        <w:rPr>
          <w:rFonts w:hint="eastAsia" w:ascii="Times New Roman" w:hAnsi="Times New Roman" w:eastAsia="宋体" w:cs="Times New Roman"/>
          <w:color w:val="auto"/>
          <w:sz w:val="24"/>
          <w:szCs w:val="24"/>
          <w:highlight w:val="none"/>
          <w:lang w:val="en-US" w:eastAsia="zh-CN"/>
        </w:rPr>
        <w:t>但</w:t>
      </w:r>
      <w:r>
        <w:rPr>
          <w:rFonts w:hint="default" w:ascii="Times New Roman" w:hAnsi="Times New Roman" w:eastAsia="宋体" w:cs="Times New Roman"/>
          <w:color w:val="auto"/>
          <w:sz w:val="24"/>
          <w:szCs w:val="24"/>
          <w:highlight w:val="none"/>
          <w:lang w:val="en-US" w:eastAsia="zh-CN"/>
        </w:rPr>
        <w:t xml:space="preserve">不限于雨伞借用、快递代收发、物品寄存等并能持续开发新服务项目；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0"/>
        <w:rPr>
          <w:rFonts w:hint="default" w:ascii="Times New Roman" w:hAnsi="Times New Roman" w:eastAsia="宋体" w:cs="Times New Roman"/>
          <w:color w:val="auto"/>
          <w:sz w:val="24"/>
          <w:szCs w:val="24"/>
          <w:highlight w:val="none"/>
          <w:lang w:val="en-US" w:eastAsia="zh-CN"/>
        </w:rPr>
      </w:pPr>
      <w:bookmarkStart w:id="98" w:name="_Toc16723"/>
      <w:r>
        <w:rPr>
          <w:rFonts w:hint="eastAsia" w:ascii="Times New Roman" w:hAnsi="Times New Roman" w:eastAsia="宋体" w:cs="Times New Roman"/>
          <w:color w:val="auto"/>
          <w:sz w:val="24"/>
          <w:szCs w:val="24"/>
          <w:highlight w:val="none"/>
          <w:lang w:val="en-US" w:eastAsia="zh-CN"/>
        </w:rPr>
        <w:t xml:space="preserve">2  </w:t>
      </w:r>
      <w:r>
        <w:rPr>
          <w:rFonts w:hint="default" w:ascii="Times New Roman" w:hAnsi="Times New Roman" w:eastAsia="宋体" w:cs="Times New Roman"/>
          <w:color w:val="auto"/>
          <w:sz w:val="24"/>
          <w:szCs w:val="24"/>
          <w:highlight w:val="none"/>
          <w:lang w:val="en-US" w:eastAsia="zh-CN"/>
        </w:rPr>
        <w:t>便民服务收费应公开透明，不得违反承诺收费。</w:t>
      </w:r>
      <w:bookmarkEnd w:id="98"/>
      <w:r>
        <w:rPr>
          <w:rFonts w:hint="default" w:ascii="Times New Roman" w:hAnsi="Times New Roman" w:eastAsia="宋体" w:cs="Times New Roman"/>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1"/>
        <w:rPr>
          <w:rFonts w:hint="default" w:ascii="Times New Roman" w:hAnsi="Times New Roman" w:eastAsia="宋体" w:cs="Times New Roman"/>
          <w:color w:val="auto"/>
          <w:sz w:val="24"/>
          <w:szCs w:val="24"/>
          <w:highlight w:val="none"/>
          <w:lang w:val="en-US" w:eastAsia="zh-CN"/>
        </w:rPr>
      </w:pPr>
      <w:bookmarkStart w:id="99" w:name="_Toc14988"/>
      <w:bookmarkStart w:id="100" w:name="_Toc26658"/>
      <w:r>
        <w:rPr>
          <w:rFonts w:hint="eastAsia" w:ascii="Times New Roman" w:hAnsi="Times New Roman" w:eastAsia="黑体" w:cs="Times New Roman"/>
          <w:b/>
          <w:bCs/>
          <w:i w:val="0"/>
          <w:color w:val="auto"/>
          <w:sz w:val="24"/>
          <w:szCs w:val="24"/>
          <w:highlight w:val="none"/>
          <w:lang w:val="en-US" w:eastAsia="zh-CN" w:bidi="ar-SA"/>
        </w:rPr>
        <w:t>7.4.</w:t>
      </w:r>
      <w:bookmarkEnd w:id="99"/>
      <w:r>
        <w:rPr>
          <w:rFonts w:hint="default" w:ascii="Times New Roman" w:hAnsi="Times New Roman" w:eastAsia="黑体" w:cs="Times New Roman"/>
          <w:b/>
          <w:bCs/>
          <w:i w:val="0"/>
          <w:color w:val="auto"/>
          <w:sz w:val="24"/>
          <w:szCs w:val="24"/>
          <w:highlight w:val="none"/>
          <w:lang w:val="en-US" w:eastAsia="zh-CN" w:bidi="ar-SA"/>
        </w:rPr>
        <w:t>2</w:t>
      </w:r>
      <w:r>
        <w:rPr>
          <w:rFonts w:hint="eastAsia"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en-US" w:eastAsia="zh-CN"/>
        </w:rPr>
        <w:t>便民服务应符合</w:t>
      </w:r>
      <w:r>
        <w:rPr>
          <w:rFonts w:hint="eastAsia" w:ascii="Times New Roman" w:hAnsi="Times New Roman" w:eastAsia="宋体" w:cs="Times New Roman"/>
          <w:color w:val="auto"/>
          <w:sz w:val="24"/>
          <w:szCs w:val="24"/>
          <w:highlight w:val="none"/>
          <w:lang w:val="en-US" w:eastAsia="zh-CN"/>
        </w:rPr>
        <w:t>以下</w:t>
      </w:r>
      <w:r>
        <w:rPr>
          <w:rFonts w:hint="default" w:ascii="Times New Roman" w:hAnsi="Times New Roman" w:eastAsia="宋体" w:cs="Times New Roman"/>
          <w:color w:val="auto"/>
          <w:sz w:val="24"/>
          <w:szCs w:val="24"/>
          <w:highlight w:val="none"/>
          <w:lang w:val="en-US" w:eastAsia="zh-CN"/>
        </w:rPr>
        <w:t>要求：</w:t>
      </w:r>
      <w:bookmarkEnd w:id="100"/>
      <w:r>
        <w:rPr>
          <w:rFonts w:hint="default" w:ascii="Times New Roman" w:hAnsi="Times New Roman" w:eastAsia="宋体" w:cs="Times New Roman"/>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0"/>
        <w:rPr>
          <w:rFonts w:hint="default" w:ascii="Times New Roman" w:hAnsi="Times New Roman" w:eastAsia="宋体" w:cs="Times New Roman"/>
          <w:color w:val="auto"/>
          <w:sz w:val="24"/>
          <w:szCs w:val="24"/>
          <w:highlight w:val="none"/>
          <w:lang w:val="en-US" w:eastAsia="zh-CN"/>
        </w:rPr>
      </w:pPr>
      <w:bookmarkStart w:id="101" w:name="_Toc28976"/>
      <w:r>
        <w:rPr>
          <w:rFonts w:hint="eastAsia" w:ascii="Times New Roman" w:hAnsi="Times New Roman" w:eastAsia="宋体" w:cs="Times New Roman"/>
          <w:color w:val="auto"/>
          <w:sz w:val="24"/>
          <w:szCs w:val="24"/>
          <w:highlight w:val="none"/>
          <w:lang w:val="en-US" w:eastAsia="zh-CN"/>
        </w:rPr>
        <w:t xml:space="preserve">1  </w:t>
      </w:r>
      <w:r>
        <w:rPr>
          <w:rFonts w:hint="default" w:ascii="Times New Roman" w:hAnsi="Times New Roman" w:eastAsia="宋体" w:cs="Times New Roman"/>
          <w:color w:val="auto"/>
          <w:sz w:val="24"/>
          <w:szCs w:val="24"/>
          <w:highlight w:val="none"/>
          <w:lang w:val="en-US" w:eastAsia="zh-CN"/>
        </w:rPr>
        <w:t>便民服务</w:t>
      </w:r>
      <w:r>
        <w:rPr>
          <w:rFonts w:hint="eastAsia" w:ascii="Times New Roman" w:hAnsi="Times New Roman" w:eastAsia="宋体" w:cs="Times New Roman"/>
          <w:color w:val="auto"/>
          <w:sz w:val="24"/>
          <w:szCs w:val="24"/>
          <w:highlight w:val="none"/>
          <w:lang w:val="en-US" w:eastAsia="zh-CN"/>
        </w:rPr>
        <w:t>相关工作人员应做到</w:t>
      </w:r>
      <w:r>
        <w:rPr>
          <w:rFonts w:hint="default" w:ascii="Times New Roman" w:hAnsi="Times New Roman" w:eastAsia="宋体" w:cs="Times New Roman"/>
          <w:color w:val="auto"/>
          <w:sz w:val="24"/>
          <w:szCs w:val="24"/>
          <w:highlight w:val="none"/>
          <w:lang w:val="en-US" w:eastAsia="zh-CN"/>
        </w:rPr>
        <w:t>态度良好、文明礼貌；</w:t>
      </w:r>
      <w:bookmarkEnd w:id="101"/>
      <w:r>
        <w:rPr>
          <w:rFonts w:hint="default" w:ascii="Times New Roman" w:hAnsi="Times New Roman" w:eastAsia="宋体" w:cs="Times New Roman"/>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2  </w:t>
      </w:r>
      <w:r>
        <w:rPr>
          <w:rFonts w:hint="default" w:ascii="Times New Roman" w:hAnsi="Times New Roman" w:eastAsia="宋体" w:cs="Times New Roman"/>
          <w:color w:val="auto"/>
          <w:sz w:val="24"/>
          <w:szCs w:val="24"/>
          <w:highlight w:val="none"/>
          <w:lang w:val="en-US" w:eastAsia="zh-CN"/>
        </w:rPr>
        <w:t>便民服务过程</w:t>
      </w:r>
      <w:r>
        <w:rPr>
          <w:rFonts w:hint="eastAsia" w:ascii="Times New Roman" w:hAnsi="Times New Roman" w:eastAsia="宋体" w:cs="Times New Roman"/>
          <w:color w:val="auto"/>
          <w:sz w:val="24"/>
          <w:szCs w:val="24"/>
          <w:highlight w:val="none"/>
          <w:lang w:val="en-US" w:eastAsia="zh-CN"/>
        </w:rPr>
        <w:t>应</w:t>
      </w:r>
      <w:r>
        <w:rPr>
          <w:rFonts w:hint="default" w:ascii="Times New Roman" w:hAnsi="Times New Roman" w:eastAsia="宋体" w:cs="Times New Roman"/>
          <w:color w:val="auto"/>
          <w:sz w:val="24"/>
          <w:szCs w:val="24"/>
          <w:highlight w:val="none"/>
          <w:lang w:val="en-US" w:eastAsia="zh-CN"/>
        </w:rPr>
        <w:t>规范化，不得丢失</w:t>
      </w:r>
      <w:r>
        <w:rPr>
          <w:rFonts w:hint="eastAsia" w:ascii="Times New Roman" w:hAnsi="Times New Roman" w:eastAsia="宋体" w:cs="Times New Roman"/>
          <w:color w:val="auto"/>
          <w:sz w:val="24"/>
          <w:szCs w:val="24"/>
          <w:highlight w:val="none"/>
          <w:lang w:val="en-US" w:eastAsia="zh-CN"/>
        </w:rPr>
        <w:t>或损坏</w:t>
      </w:r>
      <w:r>
        <w:rPr>
          <w:rFonts w:hint="default" w:ascii="Times New Roman" w:hAnsi="Times New Roman" w:eastAsia="宋体" w:cs="Times New Roman"/>
          <w:color w:val="auto"/>
          <w:sz w:val="24"/>
          <w:szCs w:val="24"/>
          <w:highlight w:val="none"/>
          <w:lang w:val="en-US" w:eastAsia="zh-CN"/>
        </w:rPr>
        <w:t>客户物品，不泄露</w:t>
      </w:r>
      <w:r>
        <w:rPr>
          <w:rFonts w:hint="eastAsia" w:ascii="Times New Roman" w:hAnsi="Times New Roman" w:eastAsia="宋体" w:cs="Times New Roman"/>
          <w:color w:val="auto"/>
          <w:sz w:val="24"/>
          <w:szCs w:val="24"/>
          <w:highlight w:val="none"/>
          <w:lang w:val="en-US" w:eastAsia="zh-CN"/>
        </w:rPr>
        <w:t>客</w:t>
      </w:r>
      <w:r>
        <w:rPr>
          <w:rFonts w:hint="default" w:ascii="Times New Roman" w:hAnsi="Times New Roman" w:eastAsia="宋体" w:cs="Times New Roman"/>
          <w:color w:val="auto"/>
          <w:sz w:val="24"/>
          <w:szCs w:val="24"/>
          <w:highlight w:val="none"/>
          <w:lang w:val="en-US" w:eastAsia="zh-CN"/>
        </w:rPr>
        <w:t xml:space="preserve">户信息；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0"/>
        <w:rPr>
          <w:rFonts w:hint="eastAsia" w:ascii="Times New Roman" w:hAnsi="Times New Roman" w:eastAsia="宋体" w:cs="Times New Roman"/>
          <w:color w:val="auto"/>
          <w:sz w:val="24"/>
          <w:szCs w:val="24"/>
          <w:highlight w:val="none"/>
          <w:lang w:val="en-US" w:eastAsia="zh-CN"/>
        </w:rPr>
      </w:pPr>
      <w:bookmarkStart w:id="102" w:name="_Toc3139"/>
      <w:r>
        <w:rPr>
          <w:rFonts w:hint="eastAsia" w:ascii="Times New Roman" w:hAnsi="Times New Roman" w:eastAsia="宋体" w:cs="Times New Roman"/>
          <w:color w:val="auto"/>
          <w:sz w:val="24"/>
          <w:szCs w:val="24"/>
          <w:highlight w:val="none"/>
          <w:lang w:val="en-US" w:eastAsia="zh-CN"/>
        </w:rPr>
        <w:t xml:space="preserve">3  </w:t>
      </w:r>
      <w:r>
        <w:rPr>
          <w:rFonts w:hint="default" w:ascii="Times New Roman" w:hAnsi="Times New Roman" w:eastAsia="宋体" w:cs="Times New Roman"/>
          <w:color w:val="auto"/>
          <w:sz w:val="24"/>
          <w:szCs w:val="24"/>
          <w:highlight w:val="none"/>
          <w:lang w:val="en-US" w:eastAsia="zh-CN"/>
        </w:rPr>
        <w:t>便民服务</w:t>
      </w:r>
      <w:r>
        <w:rPr>
          <w:rFonts w:hint="eastAsia" w:ascii="Times New Roman" w:hAnsi="Times New Roman" w:eastAsia="宋体" w:cs="Times New Roman"/>
          <w:color w:val="auto"/>
          <w:sz w:val="24"/>
          <w:szCs w:val="24"/>
          <w:highlight w:val="none"/>
          <w:lang w:val="en-US" w:eastAsia="zh-CN"/>
        </w:rPr>
        <w:t>的</w:t>
      </w:r>
      <w:r>
        <w:rPr>
          <w:rFonts w:hint="default" w:ascii="Times New Roman" w:hAnsi="Times New Roman" w:eastAsia="宋体" w:cs="Times New Roman"/>
          <w:color w:val="auto"/>
          <w:sz w:val="24"/>
          <w:szCs w:val="24"/>
          <w:highlight w:val="none"/>
          <w:lang w:val="en-US" w:eastAsia="zh-CN"/>
        </w:rPr>
        <w:t>场所、设备及用品</w:t>
      </w:r>
      <w:r>
        <w:rPr>
          <w:rFonts w:hint="eastAsia" w:ascii="Times New Roman" w:hAnsi="Times New Roman" w:eastAsia="宋体" w:cs="Times New Roman"/>
          <w:color w:val="auto"/>
          <w:sz w:val="24"/>
          <w:szCs w:val="24"/>
          <w:highlight w:val="none"/>
          <w:lang w:val="en-US" w:eastAsia="zh-CN"/>
        </w:rPr>
        <w:t>应</w:t>
      </w:r>
      <w:r>
        <w:rPr>
          <w:rFonts w:hint="default" w:ascii="Times New Roman" w:hAnsi="Times New Roman" w:eastAsia="宋体" w:cs="Times New Roman"/>
          <w:color w:val="auto"/>
          <w:sz w:val="24"/>
          <w:szCs w:val="24"/>
          <w:highlight w:val="none"/>
          <w:lang w:val="en-US" w:eastAsia="zh-CN"/>
        </w:rPr>
        <w:t>保持整洁有序。</w:t>
      </w:r>
      <w:bookmarkEnd w:id="102"/>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103" w:name="_Toc19524"/>
      <w:bookmarkStart w:id="104" w:name="_Toc32652"/>
      <w:r>
        <w:rPr>
          <w:rFonts w:hint="eastAsia" w:ascii="宋体" w:hAnsi="宋体" w:eastAsia="宋体" w:cs="宋体"/>
          <w:b/>
          <w:bCs/>
          <w:color w:val="auto"/>
          <w:sz w:val="24"/>
          <w:szCs w:val="24"/>
          <w:highlight w:val="none"/>
          <w:lang w:val="en-US" w:eastAsia="zh-CN"/>
        </w:rPr>
        <w:t>7.5　其它服务</w:t>
      </w:r>
      <w:bookmarkEnd w:id="103"/>
    </w:p>
    <w:bookmarkEnd w:id="104"/>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黑体" w:cs="Times New Roman"/>
          <w:b/>
          <w:bCs/>
          <w:i w:val="0"/>
          <w:color w:val="auto"/>
          <w:sz w:val="24"/>
          <w:szCs w:val="24"/>
          <w:highlight w:val="none"/>
          <w:lang w:val="en-US" w:eastAsia="zh-CN" w:bidi="ar-SA"/>
        </w:rPr>
        <w:t>7.5.1</w:t>
      </w:r>
      <w:r>
        <w:rPr>
          <w:rFonts w:hint="eastAsia" w:ascii="Times New Roman" w:hAnsi="Times New Roman" w:eastAsia="宋体" w:cs="Times New Roman"/>
          <w:color w:val="auto"/>
          <w:sz w:val="24"/>
          <w:szCs w:val="24"/>
          <w:highlight w:val="none"/>
          <w:lang w:val="en-US" w:eastAsia="zh-CN"/>
        </w:rPr>
        <w:t xml:space="preserve">  应根据客户需求采购、补充公务饮用水，做好供应、配送工作，确保供应及时、充足。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黑体" w:cs="Times New Roman"/>
          <w:b/>
          <w:bCs/>
          <w:i w:val="0"/>
          <w:color w:val="auto"/>
          <w:sz w:val="24"/>
          <w:szCs w:val="24"/>
          <w:highlight w:val="none"/>
          <w:lang w:val="en-US" w:eastAsia="zh-CN" w:bidi="ar-SA"/>
        </w:rPr>
        <w:t xml:space="preserve">7.5.2 </w:t>
      </w:r>
      <w:r>
        <w:rPr>
          <w:rFonts w:hint="eastAsia" w:ascii="Times New Roman" w:hAnsi="Times New Roman" w:eastAsia="宋体" w:cs="Times New Roman"/>
          <w:color w:val="auto"/>
          <w:sz w:val="24"/>
          <w:szCs w:val="24"/>
          <w:highlight w:val="none"/>
          <w:lang w:val="en-US" w:eastAsia="zh-CN"/>
        </w:rPr>
        <w:t xml:space="preserve"> 为保障饮水机卫生，按规范清洗饮水机，每季度一次。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黑体" w:cs="Times New Roman"/>
          <w:b/>
          <w:bCs/>
          <w:i w:val="0"/>
          <w:color w:val="auto"/>
          <w:sz w:val="24"/>
          <w:szCs w:val="24"/>
          <w:highlight w:val="none"/>
          <w:lang w:val="en-US" w:eastAsia="zh-CN" w:bidi="ar-SA"/>
        </w:rPr>
        <w:t xml:space="preserve">7.5.3 </w:t>
      </w:r>
      <w:r>
        <w:rPr>
          <w:rFonts w:hint="eastAsia" w:ascii="Times New Roman" w:hAnsi="Times New Roman" w:eastAsia="宋体" w:cs="Times New Roman"/>
          <w:color w:val="auto"/>
          <w:sz w:val="24"/>
          <w:szCs w:val="24"/>
          <w:highlight w:val="none"/>
          <w:lang w:val="en-US" w:eastAsia="zh-CN"/>
        </w:rPr>
        <w:t xml:space="preserve"> 饮水机进行清洗消毒应做到饮水机外观干净整洁，内胆无水垢。</w:t>
      </w:r>
    </w:p>
    <w:p>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Chars="0"/>
        <w:textAlignment w:val="auto"/>
        <w:outlineLvl w:val="9"/>
        <w:rPr>
          <w:rFonts w:hint="eastAsia" w:hAnsi="Times New Roman" w:cs="Times New Roman"/>
          <w:color w:val="auto"/>
          <w:highlight w:val="none"/>
          <w:lang w:val="en-US" w:eastAsia="zh-CN"/>
        </w:rPr>
      </w:pPr>
      <w:bookmarkStart w:id="105" w:name="_Toc26438"/>
    </w:p>
    <w:p>
      <w:pPr>
        <w:pStyle w:val="2"/>
        <w:keepNext w:val="0"/>
        <w:keepLines w:val="0"/>
        <w:pageBreakBefore/>
        <w:spacing w:line="240" w:lineRule="auto"/>
        <w:jc w:val="center"/>
        <w:rPr>
          <w:rFonts w:hint="eastAsia" w:ascii="Times New Roman" w:hAnsi="Times New Roman" w:eastAsia="宋体" w:cs="Times New Roman"/>
          <w:sz w:val="30"/>
          <w:highlight w:val="none"/>
          <w:lang w:val="en-US" w:eastAsia="zh-CN"/>
        </w:rPr>
      </w:pPr>
      <w:bookmarkStart w:id="106" w:name="_Toc31937"/>
      <w:r>
        <w:rPr>
          <w:rFonts w:hint="eastAsia" w:ascii="Times New Roman" w:hAnsi="Times New Roman" w:eastAsia="宋体" w:cs="Times New Roman"/>
          <w:sz w:val="30"/>
          <w:highlight w:val="none"/>
          <w:lang w:val="en-US" w:eastAsia="zh-CN"/>
        </w:rPr>
        <w:t xml:space="preserve">8 </w:t>
      </w:r>
      <w:r>
        <w:rPr>
          <w:rFonts w:hint="eastAsia" w:ascii="Times New Roman" w:hAnsi="Times New Roman" w:eastAsia="宋体" w:cs="Times New Roman"/>
          <w:b w:val="0"/>
          <w:bCs w:val="0"/>
          <w:sz w:val="30"/>
          <w:highlight w:val="none"/>
          <w:lang w:val="en-US" w:eastAsia="zh-CN"/>
        </w:rPr>
        <w:t>建（构）筑物巡查维护</w:t>
      </w:r>
      <w:bookmarkEnd w:id="105"/>
      <w:bookmarkEnd w:id="106"/>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107" w:name="_Toc27968"/>
      <w:bookmarkStart w:id="108" w:name="_Toc25685"/>
      <w:r>
        <w:rPr>
          <w:rFonts w:hint="eastAsia" w:ascii="宋体" w:hAnsi="宋体" w:eastAsia="宋体" w:cs="宋体"/>
          <w:b/>
          <w:bCs/>
          <w:color w:val="auto"/>
          <w:sz w:val="24"/>
          <w:szCs w:val="24"/>
          <w:highlight w:val="none"/>
          <w:lang w:val="en-US" w:eastAsia="zh-CN"/>
        </w:rPr>
        <w:t>8.1  房屋及建（构）筑物本体</w:t>
      </w:r>
      <w:bookmarkEnd w:id="107"/>
      <w:bookmarkEnd w:id="10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2"/>
        <w:rPr>
          <w:rFonts w:hint="eastAsia" w:ascii="宋体" w:hAnsi="宋体" w:eastAsia="宋体" w:cs="宋体"/>
          <w:color w:val="auto"/>
          <w:sz w:val="24"/>
          <w:szCs w:val="24"/>
          <w:highlight w:val="none"/>
          <w:lang w:val="en-US" w:eastAsia="zh-CN"/>
        </w:rPr>
      </w:pPr>
      <w:bookmarkStart w:id="109" w:name="_Toc23441"/>
      <w:r>
        <w:rPr>
          <w:rFonts w:hint="default" w:ascii="Times New Roman" w:hAnsi="Times New Roman" w:eastAsia="宋体" w:cs="Times New Roman"/>
          <w:b/>
          <w:bCs/>
          <w:i w:val="0"/>
          <w:color w:val="auto"/>
          <w:kern w:val="2"/>
          <w:sz w:val="24"/>
          <w:szCs w:val="24"/>
          <w:highlight w:val="none"/>
          <w:lang w:val="en-US" w:eastAsia="zh-CN" w:bidi="ar-SA"/>
        </w:rPr>
        <w:t>8.1</w:t>
      </w:r>
      <w:r>
        <w:rPr>
          <w:rFonts w:hint="default" w:ascii="Times New Roman" w:hAnsi="Times New Roman" w:eastAsia="宋体" w:cs="Times New Roman"/>
          <w:b/>
          <w:bCs/>
          <w:i w:val="0"/>
          <w:color w:val="auto"/>
          <w:sz w:val="24"/>
          <w:szCs w:val="24"/>
          <w:highlight w:val="none"/>
          <w:lang w:val="en-US" w:eastAsia="zh-CN" w:bidi="ar-SA"/>
        </w:rPr>
        <w:t>.1</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lang w:val="zh-CN" w:eastAsia="zh-CN"/>
        </w:rPr>
        <w:t>建立房屋</w:t>
      </w:r>
      <w:r>
        <w:rPr>
          <w:rFonts w:hint="eastAsia" w:ascii="宋体" w:hAnsi="宋体" w:eastAsia="宋体" w:cs="宋体"/>
          <w:color w:val="auto"/>
          <w:sz w:val="24"/>
          <w:szCs w:val="24"/>
          <w:highlight w:val="none"/>
          <w:lang w:val="en-US" w:eastAsia="zh-CN"/>
        </w:rPr>
        <w:t>及建（构）筑物本体服务管理</w:t>
      </w:r>
      <w:r>
        <w:rPr>
          <w:rFonts w:hint="eastAsia" w:ascii="宋体" w:hAnsi="宋体" w:eastAsia="宋体" w:cs="宋体"/>
          <w:color w:val="auto"/>
          <w:sz w:val="24"/>
          <w:szCs w:val="24"/>
          <w:highlight w:val="none"/>
          <w:lang w:val="zh-CN" w:eastAsia="zh-CN"/>
        </w:rPr>
        <w:t>制度</w:t>
      </w:r>
      <w:r>
        <w:rPr>
          <w:rFonts w:hint="eastAsia" w:ascii="宋体" w:hAnsi="宋体" w:eastAsia="宋体" w:cs="宋体"/>
          <w:color w:val="auto"/>
          <w:sz w:val="24"/>
          <w:szCs w:val="24"/>
          <w:highlight w:val="none"/>
          <w:lang w:val="en-US" w:eastAsia="zh-CN"/>
        </w:rPr>
        <w:t>。</w:t>
      </w:r>
      <w:bookmarkEnd w:id="10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8.1.2 </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zh-CN" w:eastAsia="zh-CN"/>
        </w:rPr>
        <w:t>建立房屋</w:t>
      </w:r>
      <w:r>
        <w:rPr>
          <w:rFonts w:hint="eastAsia" w:ascii="宋体" w:hAnsi="宋体" w:eastAsia="宋体" w:cs="宋体"/>
          <w:color w:val="auto"/>
          <w:sz w:val="24"/>
          <w:szCs w:val="24"/>
          <w:highlight w:val="none"/>
          <w:lang w:val="en-US" w:eastAsia="zh-CN"/>
        </w:rPr>
        <w:t>巡查、管理台帐</w:t>
      </w:r>
      <w:r>
        <w:rPr>
          <w:rFonts w:hint="eastAsia" w:ascii="宋体" w:hAnsi="宋体" w:eastAsia="宋体" w:cs="宋体"/>
          <w:color w:val="auto"/>
          <w:sz w:val="24"/>
          <w:szCs w:val="24"/>
          <w:highlight w:val="none"/>
          <w:lang w:val="zh-CN" w:eastAsia="zh-CN"/>
        </w:rPr>
        <w:t>，指导和督</w:t>
      </w:r>
      <w:r>
        <w:rPr>
          <w:rFonts w:hint="eastAsia" w:ascii="宋体" w:hAnsi="宋体" w:eastAsia="宋体" w:cs="宋体"/>
          <w:color w:val="auto"/>
          <w:sz w:val="24"/>
          <w:szCs w:val="24"/>
          <w:highlight w:val="none"/>
          <w:lang w:val="en-US" w:eastAsia="zh-CN"/>
        </w:rPr>
        <w:t>促用户</w:t>
      </w:r>
      <w:r>
        <w:rPr>
          <w:rFonts w:hint="eastAsia" w:ascii="宋体" w:hAnsi="宋体" w:eastAsia="宋体" w:cs="宋体"/>
          <w:color w:val="auto"/>
          <w:sz w:val="24"/>
          <w:szCs w:val="24"/>
          <w:highlight w:val="none"/>
          <w:lang w:val="zh-CN" w:eastAsia="zh-CN"/>
        </w:rPr>
        <w:t>安全</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lang w:val="zh-CN" w:eastAsia="zh-CN"/>
        </w:rPr>
        <w:t>规范使用房屋。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8.1.3 </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制定年度维修保养计划，在维修资金落实后组织实施。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8.1.4</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每月应</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1次对房屋主体外观、屋面、墙体(女儿墙)及外门(窗)、外走廊与阳台等进行巡检，是否存在漏水、脱落、下沉开裂以及其它破损现象。如有异常，应立刻上报并采取安全措施，进行报修，记录存档。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8.1.5</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发现</w:t>
      </w:r>
      <w:r>
        <w:rPr>
          <w:rFonts w:hint="eastAsia" w:ascii="宋体" w:hAnsi="宋体" w:eastAsia="宋体" w:cs="宋体"/>
          <w:color w:val="auto"/>
          <w:sz w:val="24"/>
          <w:szCs w:val="24"/>
          <w:highlight w:val="none"/>
          <w:lang w:val="zh-CN" w:eastAsia="zh-CN"/>
        </w:rPr>
        <w:t>使用人</w:t>
      </w:r>
      <w:r>
        <w:rPr>
          <w:rFonts w:hint="eastAsia" w:ascii="宋体" w:hAnsi="宋体" w:eastAsia="宋体" w:cs="宋体"/>
          <w:color w:val="auto"/>
          <w:sz w:val="24"/>
          <w:szCs w:val="24"/>
          <w:highlight w:val="none"/>
          <w:lang w:val="en-US" w:eastAsia="zh-CN"/>
        </w:rPr>
        <w:t>未</w:t>
      </w:r>
      <w:r>
        <w:rPr>
          <w:rFonts w:hint="eastAsia" w:ascii="宋体" w:hAnsi="宋体" w:eastAsia="宋体" w:cs="宋体"/>
          <w:color w:val="auto"/>
          <w:sz w:val="24"/>
          <w:szCs w:val="24"/>
          <w:highlight w:val="none"/>
          <w:lang w:val="zh-CN" w:eastAsia="zh-CN"/>
        </w:rPr>
        <w:t>按照楼层承受负荷</w:t>
      </w:r>
      <w:r>
        <w:rPr>
          <w:rFonts w:hint="eastAsia" w:ascii="宋体" w:hAnsi="宋体" w:eastAsia="宋体" w:cs="宋体"/>
          <w:color w:val="auto"/>
          <w:sz w:val="24"/>
          <w:szCs w:val="24"/>
          <w:highlight w:val="none"/>
          <w:lang w:val="en-US" w:eastAsia="zh-CN"/>
        </w:rPr>
        <w:t>堆放</w:t>
      </w:r>
      <w:r>
        <w:rPr>
          <w:rFonts w:hint="eastAsia" w:ascii="宋体" w:hAnsi="宋体" w:eastAsia="宋体" w:cs="宋体"/>
          <w:color w:val="auto"/>
          <w:sz w:val="24"/>
          <w:szCs w:val="24"/>
          <w:highlight w:val="none"/>
          <w:lang w:val="zh-CN" w:eastAsia="zh-CN"/>
        </w:rPr>
        <w:t>货物</w:t>
      </w:r>
      <w:r>
        <w:rPr>
          <w:rFonts w:hint="eastAsia" w:ascii="宋体" w:hAnsi="宋体" w:eastAsia="宋体" w:cs="宋体"/>
          <w:color w:val="auto"/>
          <w:sz w:val="24"/>
          <w:szCs w:val="24"/>
          <w:highlight w:val="none"/>
          <w:lang w:val="en-US" w:eastAsia="zh-CN"/>
        </w:rPr>
        <w:t>或设备的要</w:t>
      </w:r>
      <w:r>
        <w:rPr>
          <w:rFonts w:hint="eastAsia" w:ascii="宋体" w:hAnsi="宋体" w:eastAsia="宋体" w:cs="宋体"/>
          <w:color w:val="auto"/>
          <w:sz w:val="24"/>
          <w:szCs w:val="24"/>
          <w:highlight w:val="none"/>
          <w:lang w:val="zh-CN" w:eastAsia="zh-CN"/>
        </w:rPr>
        <w:t>及时制止。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8.1.6 </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根据气象台</w:t>
      </w:r>
      <w:r>
        <w:rPr>
          <w:rFonts w:hint="eastAsia" w:ascii="宋体" w:hAnsi="宋体" w:eastAsia="宋体" w:cs="宋体"/>
          <w:color w:val="auto"/>
          <w:sz w:val="24"/>
          <w:szCs w:val="24"/>
          <w:highlight w:val="none"/>
          <w:lang w:val="zh-CN" w:eastAsia="zh-CN"/>
        </w:rPr>
        <w:t>天气</w:t>
      </w:r>
      <w:r>
        <w:rPr>
          <w:rFonts w:hint="eastAsia" w:ascii="宋体" w:hAnsi="宋体" w:eastAsia="宋体" w:cs="宋体"/>
          <w:color w:val="auto"/>
          <w:sz w:val="24"/>
          <w:szCs w:val="24"/>
          <w:highlight w:val="none"/>
          <w:lang w:val="en-US" w:eastAsia="zh-CN"/>
        </w:rPr>
        <w:t>预警提醒，遇到台风、</w:t>
      </w:r>
      <w:r>
        <w:rPr>
          <w:rFonts w:hint="eastAsia" w:ascii="宋体" w:hAnsi="宋体" w:eastAsia="宋体" w:cs="宋体"/>
          <w:color w:val="auto"/>
          <w:sz w:val="24"/>
          <w:szCs w:val="24"/>
          <w:highlight w:val="none"/>
          <w:lang w:val="zh-CN" w:eastAsia="zh-CN"/>
        </w:rPr>
        <w:t>暴雨等极端</w:t>
      </w:r>
      <w:r>
        <w:rPr>
          <w:rFonts w:hint="eastAsia" w:ascii="宋体" w:hAnsi="宋体" w:eastAsia="宋体" w:cs="宋体"/>
          <w:color w:val="auto"/>
          <w:sz w:val="24"/>
          <w:szCs w:val="24"/>
          <w:highlight w:val="none"/>
          <w:lang w:val="en-US" w:eastAsia="zh-CN"/>
        </w:rPr>
        <w:t>天气，应根据应急预案进行处理。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8.1.7 </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项目主要分类的其它建筑物内部和构筑物巡查应该符合表</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.1.7要求。</w:t>
      </w:r>
    </w:p>
    <w:p>
      <w:pPr>
        <w:pStyle w:val="6"/>
        <w:tabs>
          <w:tab w:val="left" w:pos="420"/>
        </w:tabs>
        <w:spacing w:before="312" w:beforeLines="100" w:after="0" w:line="240" w:lineRule="auto"/>
        <w:jc w:val="center"/>
        <w:outlineLvl w:val="1"/>
        <w:rPr>
          <w:rFonts w:hint="eastAsia" w:eastAsia="黑体"/>
          <w:bCs w:val="0"/>
          <w:sz w:val="21"/>
          <w:szCs w:val="24"/>
          <w:highlight w:val="none"/>
          <w:lang w:val="en-US" w:eastAsia="zh-CN"/>
        </w:rPr>
      </w:pPr>
      <w:bookmarkStart w:id="110" w:name="_Toc16417"/>
      <w:r>
        <w:rPr>
          <w:rFonts w:hint="eastAsia" w:eastAsia="黑体"/>
          <w:bCs w:val="0"/>
          <w:sz w:val="21"/>
          <w:szCs w:val="24"/>
          <w:highlight w:val="none"/>
          <w:lang w:val="en-US" w:eastAsia="zh-CN"/>
        </w:rPr>
        <w:t>表8.1.7  项目主要分类服务标准-建筑构筑物巡查</w:t>
      </w:r>
      <w:bookmarkEnd w:id="110"/>
    </w:p>
    <w:tbl>
      <w:tblPr>
        <w:tblStyle w:val="38"/>
        <w:tblW w:w="90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5"/>
        <w:gridCol w:w="818"/>
        <w:gridCol w:w="1253"/>
        <w:gridCol w:w="820"/>
        <w:gridCol w:w="1030"/>
        <w:gridCol w:w="811"/>
        <w:gridCol w:w="1159"/>
        <w:gridCol w:w="845"/>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1105" w:type="dxa"/>
            <w:vMerge w:val="restart"/>
            <w:tcBorders>
              <w:top w:val="single" w:color="000000" w:sz="12"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服务项目</w:t>
            </w:r>
          </w:p>
        </w:tc>
        <w:tc>
          <w:tcPr>
            <w:tcW w:w="2071" w:type="dxa"/>
            <w:gridSpan w:val="2"/>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电力调度大楼</w:t>
            </w:r>
          </w:p>
        </w:tc>
        <w:tc>
          <w:tcPr>
            <w:tcW w:w="1850" w:type="dxa"/>
            <w:gridSpan w:val="2"/>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发电厂</w:t>
            </w:r>
          </w:p>
        </w:tc>
        <w:tc>
          <w:tcPr>
            <w:tcW w:w="1970" w:type="dxa"/>
            <w:gridSpan w:val="2"/>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换流站、变电站</w:t>
            </w:r>
          </w:p>
        </w:tc>
        <w:tc>
          <w:tcPr>
            <w:tcW w:w="2045" w:type="dxa"/>
            <w:gridSpan w:val="2"/>
            <w:tcBorders>
              <w:top w:val="single" w:color="000000" w:sz="12" w:space="0"/>
              <w:left w:val="single" w:color="000000" w:sz="4" w:space="0"/>
              <w:bottom w:val="single" w:color="000000" w:sz="4" w:space="0"/>
              <w:right w:val="single" w:color="000000" w:sz="12"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仓储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105" w:type="dxa"/>
            <w:vMerge w:val="continue"/>
            <w:tcBorders>
              <w:top w:val="single" w:color="000000" w:sz="4" w:space="0"/>
              <w:left w:val="single" w:color="000000" w:sz="12" w:space="0"/>
              <w:bottom w:val="single" w:color="000000" w:sz="12"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c>
          <w:tcPr>
            <w:tcW w:w="818"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频次</w:t>
            </w:r>
          </w:p>
        </w:tc>
        <w:tc>
          <w:tcPr>
            <w:tcW w:w="1253"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服务标准</w:t>
            </w:r>
          </w:p>
        </w:tc>
        <w:tc>
          <w:tcPr>
            <w:tcW w:w="820"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频次</w:t>
            </w:r>
          </w:p>
        </w:tc>
        <w:tc>
          <w:tcPr>
            <w:tcW w:w="1030"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服务标准</w:t>
            </w:r>
          </w:p>
        </w:tc>
        <w:tc>
          <w:tcPr>
            <w:tcW w:w="811"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频次</w:t>
            </w:r>
          </w:p>
        </w:tc>
        <w:tc>
          <w:tcPr>
            <w:tcW w:w="1159"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服务标准</w:t>
            </w:r>
          </w:p>
        </w:tc>
        <w:tc>
          <w:tcPr>
            <w:tcW w:w="845"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频次</w:t>
            </w:r>
          </w:p>
        </w:tc>
        <w:tc>
          <w:tcPr>
            <w:tcW w:w="1200" w:type="dxa"/>
            <w:tcBorders>
              <w:top w:val="single" w:color="000000" w:sz="4" w:space="0"/>
              <w:left w:val="single" w:color="000000" w:sz="4" w:space="0"/>
              <w:bottom w:val="single" w:color="000000" w:sz="12" w:space="0"/>
              <w:right w:val="single" w:color="000000" w:sz="12"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服务标准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105" w:type="dxa"/>
            <w:tcBorders>
              <w:top w:val="single" w:color="000000" w:sz="12" w:space="0"/>
              <w:left w:val="single" w:color="000000" w:sz="12" w:space="0"/>
              <w:bottom w:val="single" w:color="000000" w:sz="4" w:space="0"/>
              <w:right w:val="single" w:color="000000" w:sz="4" w:space="0"/>
            </w:tcBorders>
            <w:noWrap/>
            <w:vAlign w:val="center"/>
          </w:tcPr>
          <w:p>
            <w:pPr>
              <w:rPr>
                <w:rFonts w:hint="eastAsia" w:ascii="宋体" w:hAnsi="宋体" w:eastAsia="宋体" w:cs="宋体"/>
                <w:i w:val="0"/>
                <w:iCs w:val="0"/>
                <w:color w:val="auto"/>
                <w:sz w:val="18"/>
                <w:szCs w:val="18"/>
                <w:highlight w:val="none"/>
                <w:u w:val="none"/>
                <w:lang w:val="en-US"/>
              </w:rPr>
            </w:pPr>
            <w:r>
              <w:rPr>
                <w:rFonts w:hint="eastAsia" w:ascii="宋体" w:hAnsi="宋体" w:eastAsia="宋体" w:cs="宋体"/>
                <w:color w:val="auto"/>
                <w:sz w:val="18"/>
                <w:szCs w:val="18"/>
                <w:highlight w:val="none"/>
                <w:lang w:val="en-US" w:eastAsia="zh-CN"/>
              </w:rPr>
              <w:t>地面、隔墙、楼梯、扶手巡查</w:t>
            </w:r>
          </w:p>
        </w:tc>
        <w:tc>
          <w:tcPr>
            <w:tcW w:w="818" w:type="dxa"/>
            <w:tcBorders>
              <w:top w:val="single" w:color="000000" w:sz="12"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2次/月</w:t>
            </w:r>
          </w:p>
        </w:tc>
        <w:tc>
          <w:tcPr>
            <w:tcW w:w="1253" w:type="dxa"/>
            <w:tcBorders>
              <w:top w:val="single" w:color="000000" w:sz="12"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无开裂、无脱落、无破损、无锈蚀</w:t>
            </w:r>
          </w:p>
        </w:tc>
        <w:tc>
          <w:tcPr>
            <w:tcW w:w="820" w:type="dxa"/>
            <w:tcBorders>
              <w:top w:val="single" w:color="000000" w:sz="12"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1次/月</w:t>
            </w:r>
          </w:p>
        </w:tc>
        <w:tc>
          <w:tcPr>
            <w:tcW w:w="1030" w:type="dxa"/>
            <w:tcBorders>
              <w:top w:val="single" w:color="000000" w:sz="12"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无开裂、无脱落、无破损、无锈蚀</w:t>
            </w:r>
          </w:p>
        </w:tc>
        <w:tc>
          <w:tcPr>
            <w:tcW w:w="811" w:type="dxa"/>
            <w:tcBorders>
              <w:top w:val="single" w:color="000000" w:sz="12"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1次/月</w:t>
            </w:r>
          </w:p>
        </w:tc>
        <w:tc>
          <w:tcPr>
            <w:tcW w:w="1159" w:type="dxa"/>
            <w:tcBorders>
              <w:top w:val="single" w:color="000000" w:sz="12"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无开裂、无脱落、无破损、无锈蚀</w:t>
            </w:r>
          </w:p>
        </w:tc>
        <w:tc>
          <w:tcPr>
            <w:tcW w:w="845" w:type="dxa"/>
            <w:tcBorders>
              <w:top w:val="single" w:color="000000" w:sz="12"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1次/月</w:t>
            </w:r>
          </w:p>
        </w:tc>
        <w:tc>
          <w:tcPr>
            <w:tcW w:w="1200" w:type="dxa"/>
            <w:tcBorders>
              <w:top w:val="single" w:color="000000" w:sz="12" w:space="0"/>
              <w:left w:val="single" w:color="000000" w:sz="4" w:space="0"/>
              <w:bottom w:val="single" w:color="000000" w:sz="4" w:space="0"/>
              <w:right w:val="single" w:color="000000" w:sz="12" w:space="0"/>
            </w:tcBorders>
            <w:noWrap/>
            <w:vAlign w:val="center"/>
          </w:tcPr>
          <w:p>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无开裂、无脱落、无破损、无锈蚀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1105" w:type="dxa"/>
            <w:tcBorders>
              <w:top w:val="single" w:color="000000" w:sz="4" w:space="0"/>
              <w:left w:val="single" w:color="000000" w:sz="12" w:space="0"/>
              <w:bottom w:val="single" w:color="000000" w:sz="12" w:space="0"/>
              <w:right w:val="single" w:color="000000" w:sz="4" w:space="0"/>
            </w:tcBorders>
            <w:noWrap/>
            <w:vAlign w:val="center"/>
          </w:tcPr>
          <w:p>
            <w:pPr>
              <w:rPr>
                <w:rFonts w:hint="eastAsia" w:ascii="宋体" w:hAnsi="宋体" w:eastAsia="宋体" w:cs="宋体"/>
                <w:i w:val="0"/>
                <w:iCs w:val="0"/>
                <w:color w:val="auto"/>
                <w:sz w:val="18"/>
                <w:szCs w:val="18"/>
                <w:highlight w:val="none"/>
                <w:u w:val="none"/>
                <w:lang w:val="en-US"/>
              </w:rPr>
            </w:pPr>
            <w:r>
              <w:rPr>
                <w:rFonts w:hint="eastAsia" w:ascii="宋体" w:hAnsi="宋体" w:eastAsia="宋体" w:cs="宋体"/>
                <w:color w:val="auto"/>
                <w:sz w:val="18"/>
                <w:szCs w:val="18"/>
                <w:highlight w:val="none"/>
                <w:lang w:val="en-US" w:eastAsia="zh-CN"/>
              </w:rPr>
              <w:t>天台、道路、排水沟巡查</w:t>
            </w:r>
          </w:p>
        </w:tc>
        <w:tc>
          <w:tcPr>
            <w:tcW w:w="818" w:type="dxa"/>
            <w:tcBorders>
              <w:top w:val="single" w:color="000000" w:sz="4" w:space="0"/>
              <w:left w:val="single" w:color="000000" w:sz="4" w:space="0"/>
              <w:bottom w:val="single" w:color="000000" w:sz="12" w:space="0"/>
              <w:right w:val="single" w:color="000000" w:sz="4" w:space="0"/>
            </w:tcBorders>
            <w:noWrap/>
            <w:vAlign w:val="center"/>
          </w:tcPr>
          <w:p>
            <w:pP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2次/月</w:t>
            </w:r>
          </w:p>
        </w:tc>
        <w:tc>
          <w:tcPr>
            <w:tcW w:w="1253" w:type="dxa"/>
            <w:tcBorders>
              <w:top w:val="single" w:color="000000" w:sz="4" w:space="0"/>
              <w:left w:val="single" w:color="000000" w:sz="4" w:space="0"/>
              <w:bottom w:val="single" w:color="000000" w:sz="12" w:space="0"/>
              <w:right w:val="single" w:color="000000" w:sz="4" w:space="0"/>
            </w:tcBorders>
            <w:noWrap/>
            <w:vAlign w:val="center"/>
          </w:tcPr>
          <w:p>
            <w:pP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无开裂、无塌陷、无堵塞</w:t>
            </w:r>
          </w:p>
        </w:tc>
        <w:tc>
          <w:tcPr>
            <w:tcW w:w="820" w:type="dxa"/>
            <w:tcBorders>
              <w:top w:val="single" w:color="000000" w:sz="4" w:space="0"/>
              <w:left w:val="single" w:color="000000" w:sz="4" w:space="0"/>
              <w:bottom w:val="single" w:color="000000" w:sz="12" w:space="0"/>
              <w:right w:val="single" w:color="000000" w:sz="4" w:space="0"/>
            </w:tcBorders>
            <w:noWrap/>
            <w:vAlign w:val="center"/>
          </w:tcPr>
          <w:p>
            <w:pP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1次/月</w:t>
            </w:r>
          </w:p>
        </w:tc>
        <w:tc>
          <w:tcPr>
            <w:tcW w:w="1030" w:type="dxa"/>
            <w:tcBorders>
              <w:top w:val="single" w:color="000000" w:sz="4" w:space="0"/>
              <w:left w:val="single" w:color="000000" w:sz="4" w:space="0"/>
              <w:bottom w:val="single" w:color="000000" w:sz="12" w:space="0"/>
              <w:right w:val="single" w:color="000000" w:sz="4" w:space="0"/>
            </w:tcBorders>
            <w:noWrap/>
            <w:vAlign w:val="center"/>
          </w:tcPr>
          <w:p>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无开裂、无塌陷、无堵塞</w:t>
            </w:r>
          </w:p>
        </w:tc>
        <w:tc>
          <w:tcPr>
            <w:tcW w:w="811" w:type="dxa"/>
            <w:tcBorders>
              <w:top w:val="single" w:color="000000" w:sz="4" w:space="0"/>
              <w:left w:val="single" w:color="000000" w:sz="4" w:space="0"/>
              <w:bottom w:val="single" w:color="000000" w:sz="12" w:space="0"/>
              <w:right w:val="single" w:color="000000" w:sz="4" w:space="0"/>
            </w:tcBorders>
            <w:noWrap/>
            <w:vAlign w:val="center"/>
          </w:tcPr>
          <w:p>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1次/月</w:t>
            </w:r>
          </w:p>
        </w:tc>
        <w:tc>
          <w:tcPr>
            <w:tcW w:w="1159" w:type="dxa"/>
            <w:tcBorders>
              <w:top w:val="single" w:color="000000" w:sz="4" w:space="0"/>
              <w:left w:val="single" w:color="000000" w:sz="4" w:space="0"/>
              <w:bottom w:val="single" w:color="000000" w:sz="12" w:space="0"/>
              <w:right w:val="single" w:color="000000" w:sz="4" w:space="0"/>
            </w:tcBorders>
            <w:noWrap/>
            <w:vAlign w:val="center"/>
          </w:tcPr>
          <w:p>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无开裂、无塌陷、无堵塞</w:t>
            </w:r>
          </w:p>
        </w:tc>
        <w:tc>
          <w:tcPr>
            <w:tcW w:w="845" w:type="dxa"/>
            <w:tcBorders>
              <w:top w:val="single" w:color="000000" w:sz="4" w:space="0"/>
              <w:left w:val="single" w:color="000000" w:sz="4" w:space="0"/>
              <w:bottom w:val="single" w:color="000000" w:sz="12" w:space="0"/>
              <w:right w:val="single" w:color="000000" w:sz="4" w:space="0"/>
            </w:tcBorders>
            <w:noWrap/>
            <w:vAlign w:val="center"/>
          </w:tcPr>
          <w:p>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1次/月</w:t>
            </w:r>
          </w:p>
        </w:tc>
        <w:tc>
          <w:tcPr>
            <w:tcW w:w="1200" w:type="dxa"/>
            <w:tcBorders>
              <w:top w:val="single" w:color="000000" w:sz="4" w:space="0"/>
              <w:left w:val="single" w:color="000000" w:sz="4" w:space="0"/>
              <w:bottom w:val="single" w:color="000000" w:sz="12" w:space="0"/>
              <w:right w:val="single" w:color="000000" w:sz="12" w:space="0"/>
            </w:tcBorders>
            <w:noWrap/>
            <w:vAlign w:val="center"/>
          </w:tcPr>
          <w:p>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无开裂、无塌陷、无堵塞</w:t>
            </w:r>
          </w:p>
        </w:tc>
      </w:tr>
    </w:tbl>
    <w:p>
      <w:pPr>
        <w:pStyle w:val="63"/>
        <w:keepNext w:val="0"/>
        <w:keepLines w:val="0"/>
        <w:pageBreakBefore w:val="0"/>
        <w:widowControl/>
        <w:numPr>
          <w:ilvl w:val="1"/>
          <w:numId w:val="0"/>
        </w:numPr>
        <w:kinsoku/>
        <w:wordWrap/>
        <w:overflowPunct/>
        <w:topLinePunct w:val="0"/>
        <w:autoSpaceDE/>
        <w:autoSpaceDN/>
        <w:bidi w:val="0"/>
        <w:adjustRightInd/>
        <w:snapToGrid/>
        <w:spacing w:line="240" w:lineRule="auto"/>
        <w:ind w:leftChars="0"/>
        <w:textAlignment w:val="auto"/>
        <w:outlineLvl w:val="9"/>
        <w:rPr>
          <w:rFonts w:hint="eastAsia" w:ascii="黑体" w:hAnsi="黑体" w:eastAsia="黑体" w:cs="黑体"/>
          <w:color w:val="auto"/>
          <w:sz w:val="21"/>
          <w:szCs w:val="21"/>
          <w:highlight w:val="none"/>
          <w:lang w:val="en-US" w:eastAsia="zh-CN"/>
        </w:rPr>
      </w:pPr>
      <w:bookmarkStart w:id="111" w:name="_Toc1822"/>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112" w:name="_Toc30488"/>
      <w:r>
        <w:rPr>
          <w:rFonts w:hint="eastAsia" w:ascii="宋体" w:hAnsi="宋体" w:eastAsia="宋体" w:cs="宋体"/>
          <w:b/>
          <w:bCs/>
          <w:color w:val="auto"/>
          <w:sz w:val="24"/>
          <w:szCs w:val="24"/>
          <w:highlight w:val="none"/>
          <w:lang w:val="en-US" w:eastAsia="zh-CN"/>
        </w:rPr>
        <w:t>8.2  水工建筑物日常维护</w:t>
      </w:r>
      <w:bookmarkEnd w:id="111"/>
      <w:bookmarkEnd w:id="11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宋体" w:hAnsi="宋体" w:eastAsia="宋体" w:cs="宋体"/>
          <w:color w:val="auto"/>
          <w:sz w:val="24"/>
          <w:szCs w:val="24"/>
          <w:highlight w:val="none"/>
          <w:lang w:val="en-US" w:eastAsia="zh-CN"/>
        </w:rPr>
      </w:pPr>
      <w:bookmarkStart w:id="113" w:name="_Toc2734"/>
      <w:r>
        <w:rPr>
          <w:rFonts w:hint="eastAsia" w:ascii="Times New Roman" w:hAnsi="Times New Roman" w:eastAsia="宋体" w:cs="Times New Roman"/>
          <w:b/>
          <w:bCs/>
          <w:i w:val="0"/>
          <w:color w:val="auto"/>
          <w:kern w:val="2"/>
          <w:sz w:val="24"/>
          <w:szCs w:val="24"/>
          <w:highlight w:val="none"/>
          <w:lang w:val="en-US" w:eastAsia="zh-CN" w:bidi="ar-SA"/>
        </w:rPr>
        <w:t>8.2.1</w:t>
      </w:r>
      <w:r>
        <w:rPr>
          <w:rFonts w:hint="eastAsia" w:ascii="宋体" w:hAnsi="宋体" w:eastAsia="宋体" w:cs="宋体"/>
          <w:b w:val="0"/>
          <w:i w:val="0"/>
          <w:color w:val="auto"/>
          <w:sz w:val="21"/>
          <w:szCs w:val="21"/>
          <w:highlight w:val="none"/>
          <w:lang w:val="en-US" w:eastAsia="zh-CN" w:bidi="ar-SA"/>
        </w:rPr>
        <w:t xml:space="preserve">  </w:t>
      </w:r>
      <w:r>
        <w:rPr>
          <w:rFonts w:hint="eastAsia" w:ascii="宋体" w:hAnsi="宋体" w:eastAsia="宋体" w:cs="宋体"/>
          <w:color w:val="auto"/>
          <w:sz w:val="24"/>
          <w:szCs w:val="24"/>
          <w:highlight w:val="none"/>
          <w:lang w:val="en-US" w:eastAsia="zh-CN"/>
        </w:rPr>
        <w:t>应建立水工建筑物安全管理制度和作业流程。</w:t>
      </w:r>
      <w:bookmarkEnd w:id="11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8.2.2 </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应制定</w:t>
      </w:r>
      <w:r>
        <w:rPr>
          <w:rFonts w:hint="eastAsia" w:ascii="宋体" w:hAnsi="宋体" w:eastAsia="宋体" w:cs="宋体"/>
          <w:bCs/>
          <w:color w:val="auto"/>
          <w:sz w:val="24"/>
          <w:szCs w:val="24"/>
          <w:highlight w:val="none"/>
        </w:rPr>
        <w:t>水工建筑物维护</w:t>
      </w:r>
      <w:r>
        <w:rPr>
          <w:rFonts w:hint="eastAsia" w:ascii="宋体" w:hAnsi="宋体" w:eastAsia="宋体" w:cs="宋体"/>
          <w:bCs/>
          <w:color w:val="auto"/>
          <w:sz w:val="24"/>
          <w:szCs w:val="24"/>
          <w:highlight w:val="none"/>
          <w:lang w:val="en-US" w:eastAsia="zh-CN"/>
        </w:rPr>
        <w:t>工作计划和相关的维护工作方案，主要内容包括不限于以下内容：</w:t>
      </w:r>
    </w:p>
    <w:p>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outlineLvl w:val="0"/>
        <w:rPr>
          <w:rFonts w:hint="eastAsia" w:ascii="宋体" w:hAnsi="宋体" w:eastAsia="宋体" w:cs="宋体"/>
          <w:color w:val="auto"/>
          <w:sz w:val="24"/>
          <w:szCs w:val="24"/>
          <w:highlight w:val="none"/>
          <w:lang w:val="en-US" w:eastAsia="zh-CN" w:bidi="ar-SA"/>
        </w:rPr>
      </w:pPr>
      <w:bookmarkStart w:id="114" w:name="_Toc13098"/>
      <w:bookmarkStart w:id="115" w:name="_Toc964"/>
      <w:bookmarkStart w:id="116" w:name="_Toc27857"/>
      <w:bookmarkStart w:id="117" w:name="_Toc26900"/>
      <w:bookmarkStart w:id="118" w:name="_Toc14534"/>
      <w:r>
        <w:rPr>
          <w:rFonts w:hint="eastAsia" w:ascii="宋体" w:hAnsi="宋体" w:eastAsia="宋体" w:cs="宋体"/>
          <w:color w:val="auto"/>
          <w:sz w:val="24"/>
          <w:szCs w:val="24"/>
          <w:highlight w:val="none"/>
          <w:lang w:val="en-US" w:eastAsia="zh-CN" w:bidi="ar-SA"/>
        </w:rPr>
        <w:t>1  定期对厂房屋面防水及室内墙面地面巡查；</w:t>
      </w:r>
      <w:bookmarkEnd w:id="114"/>
      <w:bookmarkEnd w:id="115"/>
      <w:bookmarkEnd w:id="116"/>
      <w:bookmarkEnd w:id="117"/>
      <w:bookmarkEnd w:id="118"/>
    </w:p>
    <w:p>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outlineLvl w:val="0"/>
        <w:rPr>
          <w:rFonts w:hint="eastAsia" w:ascii="宋体" w:hAnsi="宋体" w:eastAsia="宋体" w:cs="宋体"/>
          <w:color w:val="auto"/>
          <w:sz w:val="24"/>
          <w:szCs w:val="24"/>
          <w:highlight w:val="none"/>
          <w:lang w:val="en-US" w:eastAsia="zh-CN" w:bidi="ar-SA"/>
        </w:rPr>
      </w:pPr>
      <w:bookmarkStart w:id="119" w:name="_Toc13181"/>
      <w:bookmarkStart w:id="120" w:name="_Toc24906"/>
      <w:bookmarkStart w:id="121" w:name="_Toc15808"/>
      <w:bookmarkStart w:id="122" w:name="_Toc16750"/>
      <w:bookmarkStart w:id="123" w:name="_Toc10732"/>
      <w:r>
        <w:rPr>
          <w:rFonts w:hint="eastAsia" w:ascii="宋体" w:hAnsi="宋体" w:eastAsia="宋体" w:cs="宋体"/>
          <w:color w:val="auto"/>
          <w:sz w:val="24"/>
          <w:szCs w:val="24"/>
          <w:highlight w:val="none"/>
          <w:lang w:val="en-US" w:eastAsia="zh-CN" w:bidi="ar-SA"/>
        </w:rPr>
        <w:t>2  定期对公路路面和边坡巡查及维护；</w:t>
      </w:r>
      <w:bookmarkEnd w:id="119"/>
      <w:bookmarkEnd w:id="120"/>
      <w:bookmarkEnd w:id="121"/>
      <w:bookmarkEnd w:id="122"/>
      <w:bookmarkEnd w:id="123"/>
    </w:p>
    <w:p>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outlineLvl w:val="0"/>
        <w:rPr>
          <w:rFonts w:hint="eastAsia" w:ascii="宋体" w:hAnsi="宋体" w:eastAsia="宋体" w:cs="宋体"/>
          <w:color w:val="auto"/>
          <w:sz w:val="24"/>
          <w:szCs w:val="24"/>
          <w:highlight w:val="none"/>
          <w:lang w:val="en-US" w:eastAsia="zh-CN" w:bidi="ar-SA"/>
        </w:rPr>
      </w:pPr>
      <w:bookmarkStart w:id="124" w:name="_Toc16461"/>
      <w:bookmarkStart w:id="125" w:name="_Toc5061"/>
      <w:bookmarkStart w:id="126" w:name="_Toc6513"/>
      <w:bookmarkStart w:id="127" w:name="_Toc26417"/>
      <w:bookmarkStart w:id="128" w:name="_Toc7206"/>
      <w:r>
        <w:rPr>
          <w:rFonts w:hint="eastAsia" w:ascii="宋体" w:hAnsi="宋体" w:eastAsia="宋体" w:cs="宋体"/>
          <w:color w:val="auto"/>
          <w:sz w:val="24"/>
          <w:szCs w:val="24"/>
          <w:highlight w:val="none"/>
          <w:lang w:val="en-US" w:eastAsia="zh-CN" w:bidi="ar-SA"/>
        </w:rPr>
        <w:t>3  定期对天沟巡查及维护；</w:t>
      </w:r>
      <w:bookmarkEnd w:id="124"/>
      <w:bookmarkEnd w:id="125"/>
      <w:bookmarkEnd w:id="126"/>
      <w:bookmarkEnd w:id="127"/>
      <w:bookmarkEnd w:id="128"/>
    </w:p>
    <w:p>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outlineLvl w:val="0"/>
        <w:rPr>
          <w:rFonts w:hint="eastAsia" w:ascii="宋体" w:hAnsi="宋体" w:eastAsia="宋体" w:cs="宋体"/>
          <w:color w:val="auto"/>
          <w:sz w:val="24"/>
          <w:szCs w:val="24"/>
          <w:highlight w:val="none"/>
          <w:lang w:val="en-US" w:eastAsia="zh-CN"/>
        </w:rPr>
      </w:pPr>
      <w:bookmarkStart w:id="129" w:name="_Toc13360"/>
      <w:bookmarkStart w:id="130" w:name="_Toc9807"/>
      <w:bookmarkStart w:id="131" w:name="_Toc21790"/>
      <w:bookmarkStart w:id="132" w:name="_Toc17834"/>
      <w:bookmarkStart w:id="133" w:name="_Toc13494"/>
      <w:r>
        <w:rPr>
          <w:rFonts w:hint="eastAsia" w:ascii="宋体" w:hAnsi="宋体" w:eastAsia="宋体" w:cs="宋体"/>
          <w:color w:val="auto"/>
          <w:sz w:val="24"/>
          <w:szCs w:val="24"/>
          <w:highlight w:val="none"/>
          <w:lang w:val="en-US" w:eastAsia="zh-CN" w:bidi="ar-SA"/>
        </w:rPr>
        <w:t>4  发现问题及时上报处理并做好临时措施。</w:t>
      </w:r>
      <w:bookmarkEnd w:id="129"/>
      <w:bookmarkEnd w:id="130"/>
      <w:bookmarkEnd w:id="131"/>
      <w:bookmarkEnd w:id="132"/>
      <w:bookmarkEnd w:id="133"/>
    </w:p>
    <w:p>
      <w:pPr>
        <w:pStyle w:val="2"/>
        <w:keepNext w:val="0"/>
        <w:keepLines w:val="0"/>
        <w:pageBreakBefore/>
        <w:spacing w:line="240" w:lineRule="auto"/>
        <w:jc w:val="center"/>
        <w:rPr>
          <w:rFonts w:hint="eastAsia" w:ascii="Times New Roman" w:hAnsi="Times New Roman" w:eastAsia="宋体" w:cs="Times New Roman"/>
          <w:sz w:val="30"/>
          <w:highlight w:val="none"/>
          <w:lang w:val="en-US" w:eastAsia="zh-CN"/>
        </w:rPr>
      </w:pPr>
      <w:bookmarkStart w:id="134" w:name="_Toc17019"/>
      <w:bookmarkStart w:id="135" w:name="_Toc574"/>
      <w:r>
        <w:rPr>
          <w:rFonts w:hint="eastAsia" w:ascii="Times New Roman" w:hAnsi="Times New Roman" w:eastAsia="宋体" w:cs="Times New Roman"/>
          <w:sz w:val="30"/>
          <w:highlight w:val="none"/>
          <w:lang w:val="en-US" w:eastAsia="zh-CN"/>
        </w:rPr>
        <w:t xml:space="preserve">9 </w:t>
      </w:r>
      <w:r>
        <w:rPr>
          <w:rFonts w:hint="eastAsia" w:ascii="Times New Roman" w:hAnsi="Times New Roman" w:eastAsia="宋体" w:cs="Times New Roman"/>
          <w:b w:val="0"/>
          <w:bCs w:val="0"/>
          <w:sz w:val="30"/>
          <w:highlight w:val="none"/>
          <w:lang w:val="en-US" w:eastAsia="zh-CN"/>
        </w:rPr>
        <w:t>设施设备运行服务</w:t>
      </w:r>
      <w:bookmarkEnd w:id="134"/>
      <w:bookmarkEnd w:id="135"/>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136" w:name="_Toc32705"/>
      <w:bookmarkStart w:id="137" w:name="_Toc27826"/>
      <w:r>
        <w:rPr>
          <w:rFonts w:hint="eastAsia" w:ascii="宋体" w:hAnsi="宋体" w:eastAsia="宋体" w:cs="宋体"/>
          <w:b/>
          <w:bCs/>
          <w:color w:val="auto"/>
          <w:sz w:val="24"/>
          <w:szCs w:val="24"/>
          <w:highlight w:val="none"/>
          <w:lang w:val="en-US" w:eastAsia="zh-CN"/>
        </w:rPr>
        <w:t xml:space="preserve">9.1  </w:t>
      </w:r>
      <w:bookmarkEnd w:id="136"/>
      <w:bookmarkStart w:id="138" w:name="_Toc25012"/>
      <w:r>
        <w:rPr>
          <w:rFonts w:hint="eastAsia" w:ascii="宋体" w:hAnsi="宋体" w:eastAsia="宋体" w:cs="宋体"/>
          <w:b/>
          <w:bCs/>
          <w:color w:val="auto"/>
          <w:sz w:val="24"/>
          <w:szCs w:val="24"/>
          <w:highlight w:val="none"/>
          <w:lang w:val="en-US" w:eastAsia="zh-CN"/>
        </w:rPr>
        <w:t xml:space="preserve"> 供配电系统</w:t>
      </w:r>
      <w:bookmarkEnd w:id="137"/>
      <w:bookmarkEnd w:id="138"/>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rPr>
      </w:pPr>
      <w:r>
        <w:rPr>
          <w:rFonts w:hint="default" w:ascii="Times New Roman" w:hAnsi="Times New Roman" w:eastAsia="宋体" w:cs="Times New Roman"/>
          <w:b/>
          <w:bCs/>
          <w:i w:val="0"/>
          <w:color w:val="auto"/>
          <w:kern w:val="2"/>
          <w:sz w:val="24"/>
          <w:szCs w:val="24"/>
          <w:highlight w:val="none"/>
          <w:lang w:val="en-US" w:eastAsia="zh-CN" w:bidi="ar-SA"/>
        </w:rPr>
        <w:t>9.1</w:t>
      </w:r>
      <w:r>
        <w:rPr>
          <w:rFonts w:hint="default" w:ascii="Times New Roman" w:hAnsi="Times New Roman" w:eastAsia="宋体" w:cs="Times New Roman"/>
          <w:b/>
          <w:bCs/>
          <w:i w:val="0"/>
          <w:color w:val="auto"/>
          <w:sz w:val="24"/>
          <w:szCs w:val="24"/>
          <w:highlight w:val="none"/>
          <w:lang w:val="en-US" w:eastAsia="zh-CN" w:bidi="ar-SA"/>
        </w:rPr>
        <w:t>.1</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cs="宋体"/>
          <w:color w:val="auto"/>
          <w:sz w:val="24"/>
          <w:szCs w:val="24"/>
          <w:highlight w:val="none"/>
          <w:lang w:val="en-US" w:eastAsia="zh-CN"/>
        </w:rPr>
        <w:t>应符合现行地方标准《电力安全工作规程 发电厂和变电站电气部分》</w:t>
      </w:r>
      <w:r>
        <w:rPr>
          <w:rFonts w:hint="eastAsia" w:ascii="宋体" w:hAnsi="宋体" w:eastAsia="宋体" w:cs="宋体"/>
          <w:color w:val="auto"/>
          <w:sz w:val="24"/>
          <w:szCs w:val="24"/>
          <w:highlight w:val="none"/>
          <w:lang w:val="en-US" w:eastAsia="zh-CN"/>
        </w:rPr>
        <w:t>GB 26860的</w:t>
      </w:r>
      <w:r>
        <w:rPr>
          <w:rFonts w:hint="eastAsia" w:ascii="宋体" w:hAnsi="宋体" w:cs="宋体"/>
          <w:color w:val="auto"/>
          <w:sz w:val="24"/>
          <w:szCs w:val="24"/>
          <w:highlight w:val="none"/>
          <w:lang w:val="en-US" w:eastAsia="zh-CN"/>
        </w:rPr>
        <w:t>相关规定</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建立健全的</w:t>
      </w:r>
      <w:r>
        <w:rPr>
          <w:rFonts w:hint="eastAsia" w:ascii="宋体" w:hAnsi="宋体" w:eastAsia="宋体" w:cs="宋体"/>
          <w:color w:val="auto"/>
          <w:sz w:val="24"/>
          <w:szCs w:val="24"/>
          <w:highlight w:val="none"/>
          <w:lang w:val="en-US" w:eastAsia="zh-CN"/>
        </w:rPr>
        <w:t>供配电运行管理、应急、维护保养制度和操作流程。</w:t>
      </w:r>
      <w:r>
        <w:rPr>
          <w:rFonts w:hint="eastAsia" w:ascii="宋体" w:hAnsi="宋体" w:eastAsia="宋体" w:cs="宋体"/>
          <w:color w:val="auto"/>
          <w:kern w:val="0"/>
          <w:sz w:val="24"/>
          <w:szCs w:val="24"/>
          <w:highlight w:val="none"/>
          <w:lang w:val="en-US" w:eastAsia="zh-CN" w:bidi="ar"/>
        </w:rPr>
        <w:t>应包含但不限于：</w:t>
      </w:r>
    </w:p>
    <w:p>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rPr>
          <w:rFonts w:hint="eastAsia" w:ascii="宋体" w:hAnsi="宋体" w:eastAsia="宋体" w:cs="宋体"/>
          <w:color w:val="auto"/>
          <w:sz w:val="24"/>
          <w:szCs w:val="24"/>
          <w:highlight w:val="none"/>
          <w:lang w:val="en-US" w:eastAsia="zh-CN" w:bidi="ar-SA"/>
        </w:rPr>
      </w:pPr>
      <w:bookmarkStart w:id="139" w:name="_Toc10009"/>
      <w:bookmarkStart w:id="140" w:name="_Toc12179"/>
      <w:bookmarkStart w:id="141" w:name="_Toc16661"/>
      <w:bookmarkStart w:id="142" w:name="_Toc4088"/>
      <w:r>
        <w:rPr>
          <w:rFonts w:hint="eastAsia" w:ascii="宋体" w:hAnsi="宋体" w:eastAsia="宋体" w:cs="宋体"/>
          <w:color w:val="auto"/>
          <w:sz w:val="24"/>
          <w:szCs w:val="24"/>
          <w:highlight w:val="none"/>
          <w:lang w:val="en-US" w:eastAsia="zh-CN" w:bidi="ar-SA"/>
        </w:rPr>
        <w:t>1  需员工值守的配电房（站）运行应实行值班员24小时制，巡查设备运行并对主要运行数据和运行情况进行记录，而无人值守的配电房（站）运行应按制度定时巡查并做好记录；</w:t>
      </w:r>
      <w:bookmarkEnd w:id="139"/>
      <w:bookmarkEnd w:id="140"/>
      <w:bookmarkEnd w:id="141"/>
      <w:bookmarkEnd w:id="142"/>
    </w:p>
    <w:p>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rPr>
          <w:rFonts w:hint="eastAsia" w:ascii="宋体" w:hAnsi="宋体" w:eastAsia="宋体" w:cs="宋体"/>
          <w:color w:val="auto"/>
          <w:sz w:val="24"/>
          <w:szCs w:val="24"/>
          <w:highlight w:val="none"/>
          <w:lang w:val="en-US" w:eastAsia="zh-CN" w:bidi="ar-SA"/>
        </w:rPr>
      </w:pPr>
      <w:bookmarkStart w:id="143" w:name="_Toc32083"/>
      <w:bookmarkStart w:id="144" w:name="_Toc7377"/>
      <w:bookmarkStart w:id="145" w:name="_Toc6512"/>
      <w:bookmarkStart w:id="146" w:name="_Toc5433"/>
      <w:r>
        <w:rPr>
          <w:rFonts w:hint="eastAsia" w:ascii="宋体" w:hAnsi="宋体" w:eastAsia="宋体" w:cs="宋体"/>
          <w:color w:val="auto"/>
          <w:sz w:val="24"/>
          <w:szCs w:val="24"/>
          <w:highlight w:val="none"/>
          <w:lang w:val="en-US" w:eastAsia="zh-CN" w:bidi="ar-SA"/>
        </w:rPr>
        <w:t>2  定期对应急电源设备以及UPS和EPS电源控制柜的运行进行检查或测试，</w:t>
      </w:r>
      <w:r>
        <w:rPr>
          <w:rFonts w:hint="eastAsia" w:ascii="宋体" w:hAnsi="宋体" w:eastAsia="宋体" w:cs="宋体"/>
          <w:color w:val="auto"/>
          <w:sz w:val="24"/>
          <w:szCs w:val="24"/>
          <w:highlight w:val="none"/>
          <w:lang w:val="zh-CN" w:eastAsia="zh-CN" w:bidi="ar-SA"/>
        </w:rPr>
        <w:t>重要活动开始前应对发电机、</w:t>
      </w:r>
      <w:r>
        <w:rPr>
          <w:rFonts w:hint="eastAsia" w:ascii="宋体" w:hAnsi="宋体" w:eastAsia="宋体" w:cs="宋体"/>
          <w:color w:val="auto"/>
          <w:sz w:val="24"/>
          <w:szCs w:val="24"/>
          <w:highlight w:val="none"/>
          <w:lang w:val="en-US" w:eastAsia="zh-CN" w:bidi="ar-SA"/>
        </w:rPr>
        <w:t>UPS、EPS</w:t>
      </w:r>
      <w:r>
        <w:rPr>
          <w:rFonts w:hint="eastAsia" w:ascii="宋体" w:hAnsi="宋体" w:eastAsia="宋体" w:cs="宋体"/>
          <w:color w:val="auto"/>
          <w:sz w:val="24"/>
          <w:szCs w:val="24"/>
          <w:highlight w:val="none"/>
          <w:lang w:val="zh-CN" w:eastAsia="zh-CN" w:bidi="ar-SA"/>
        </w:rPr>
        <w:t>等设备进行专项</w:t>
      </w:r>
      <w:r>
        <w:rPr>
          <w:rFonts w:hint="eastAsia" w:ascii="宋体" w:hAnsi="宋体" w:eastAsia="宋体" w:cs="宋体"/>
          <w:color w:val="auto"/>
          <w:sz w:val="24"/>
          <w:szCs w:val="24"/>
          <w:highlight w:val="none"/>
          <w:lang w:val="en-US" w:eastAsia="zh-CN" w:bidi="ar-SA"/>
        </w:rPr>
        <w:t>维</w:t>
      </w:r>
      <w:r>
        <w:rPr>
          <w:rFonts w:hint="eastAsia" w:ascii="宋体" w:hAnsi="宋体" w:eastAsia="宋体" w:cs="宋体"/>
          <w:color w:val="auto"/>
          <w:sz w:val="24"/>
          <w:szCs w:val="24"/>
          <w:highlight w:val="none"/>
          <w:lang w:val="zh-CN" w:eastAsia="zh-CN" w:bidi="ar-SA"/>
        </w:rPr>
        <w:t>保，发现异常应及时消缺，</w:t>
      </w:r>
      <w:r>
        <w:rPr>
          <w:rFonts w:hint="eastAsia" w:ascii="宋体" w:hAnsi="宋体" w:eastAsia="宋体" w:cs="宋体"/>
          <w:color w:val="auto"/>
          <w:sz w:val="24"/>
          <w:szCs w:val="24"/>
          <w:highlight w:val="none"/>
          <w:lang w:val="en-US" w:eastAsia="zh-CN" w:bidi="ar-SA"/>
        </w:rPr>
        <w:t>确保紧急停电时能及时投入；</w:t>
      </w:r>
      <w:bookmarkEnd w:id="143"/>
      <w:bookmarkEnd w:id="144"/>
      <w:bookmarkEnd w:id="145"/>
      <w:bookmarkEnd w:id="146"/>
    </w:p>
    <w:p>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outlineLvl w:val="0"/>
        <w:rPr>
          <w:rFonts w:hint="eastAsia" w:ascii="宋体" w:hAnsi="宋体" w:eastAsia="宋体" w:cs="宋体"/>
          <w:color w:val="auto"/>
          <w:sz w:val="24"/>
          <w:szCs w:val="24"/>
          <w:highlight w:val="none"/>
          <w:lang w:val="en-US" w:eastAsia="zh-CN" w:bidi="ar-SA"/>
        </w:rPr>
      </w:pPr>
      <w:bookmarkStart w:id="147" w:name="_Toc15605"/>
      <w:bookmarkStart w:id="148" w:name="_Toc11134"/>
      <w:bookmarkStart w:id="149" w:name="_Toc31778"/>
      <w:bookmarkStart w:id="150" w:name="_Toc28152"/>
      <w:r>
        <w:rPr>
          <w:rFonts w:hint="eastAsia" w:ascii="宋体" w:hAnsi="宋体" w:eastAsia="宋体" w:cs="宋体"/>
          <w:color w:val="auto"/>
          <w:sz w:val="24"/>
          <w:szCs w:val="24"/>
          <w:highlight w:val="none"/>
          <w:lang w:val="en-US" w:eastAsia="zh-CN" w:bidi="ar-SA"/>
        </w:rPr>
        <w:t>3  变配电设施设备每年应至少进行1次全面检修，严格执行工作票和操作票制度；</w:t>
      </w:r>
      <w:bookmarkEnd w:id="147"/>
      <w:bookmarkEnd w:id="148"/>
      <w:bookmarkEnd w:id="149"/>
      <w:bookmarkEnd w:id="150"/>
    </w:p>
    <w:p>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rPr>
          <w:rFonts w:hint="eastAsia" w:ascii="宋体" w:hAnsi="宋体" w:eastAsia="宋体" w:cs="宋体"/>
          <w:color w:val="auto"/>
          <w:sz w:val="24"/>
          <w:szCs w:val="24"/>
          <w:highlight w:val="none"/>
          <w:lang w:val="en-US" w:eastAsia="zh-CN" w:bidi="ar-SA"/>
        </w:rPr>
      </w:pPr>
      <w:bookmarkStart w:id="151" w:name="_Toc11991"/>
      <w:bookmarkStart w:id="152" w:name="_Toc11149"/>
      <w:bookmarkStart w:id="153" w:name="_Toc18539"/>
      <w:bookmarkStart w:id="154" w:name="_Toc12611"/>
      <w:r>
        <w:rPr>
          <w:rFonts w:hint="eastAsia" w:ascii="宋体" w:hAnsi="宋体" w:eastAsia="宋体" w:cs="宋体"/>
          <w:color w:val="auto"/>
          <w:sz w:val="24"/>
          <w:szCs w:val="24"/>
          <w:highlight w:val="none"/>
          <w:lang w:val="en-US" w:eastAsia="zh-CN" w:bidi="ar-SA"/>
        </w:rPr>
        <w:t>4  绝缘手套、绝缘靴每6个月进行</w:t>
      </w:r>
      <w:r>
        <w:rPr>
          <w:rFonts w:hint="default" w:ascii="Arial" w:hAnsi="Arial" w:eastAsia="宋体" w:cs="Arial"/>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1次检查，验电器、绝缘杆及接地线等每年进行≥1次年检。</w:t>
      </w:r>
      <w:bookmarkEnd w:id="151"/>
      <w:bookmarkEnd w:id="152"/>
      <w:bookmarkEnd w:id="153"/>
      <w:bookmarkEnd w:id="154"/>
      <w:r>
        <w:rPr>
          <w:rFonts w:hint="eastAsia" w:ascii="宋体" w:hAnsi="宋体" w:eastAsia="宋体" w:cs="宋体"/>
          <w:color w:val="auto"/>
          <w:sz w:val="24"/>
          <w:szCs w:val="24"/>
          <w:highlight w:val="non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9.1.2</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变压器、高压开关柜、</w:t>
      </w:r>
      <w:r>
        <w:rPr>
          <w:rFonts w:hint="eastAsia" w:ascii="宋体" w:hAnsi="宋体" w:eastAsia="宋体" w:cs="宋体"/>
          <w:color w:val="auto"/>
          <w:sz w:val="24"/>
          <w:szCs w:val="24"/>
          <w:highlight w:val="none"/>
          <w:lang w:val="en-US" w:eastAsia="en-US"/>
        </w:rPr>
        <w:t>继电保护装置</w:t>
      </w:r>
      <w:r>
        <w:rPr>
          <w:rFonts w:hint="eastAsia" w:ascii="宋体" w:hAnsi="宋体" w:eastAsia="宋体" w:cs="宋体"/>
          <w:color w:val="auto"/>
          <w:sz w:val="24"/>
          <w:szCs w:val="24"/>
          <w:highlight w:val="none"/>
          <w:lang w:val="en-US" w:eastAsia="zh-CN"/>
        </w:rPr>
        <w:t>及其电缆等要定期进行试验，应该委托给有资质和能力单位，</w:t>
      </w:r>
      <w:r>
        <w:rPr>
          <w:rFonts w:hint="eastAsia" w:ascii="宋体" w:hAnsi="宋体" w:cs="宋体"/>
          <w:color w:val="auto"/>
          <w:sz w:val="24"/>
          <w:szCs w:val="24"/>
          <w:highlight w:val="none"/>
          <w:lang w:val="en-US" w:eastAsia="zh-CN"/>
        </w:rPr>
        <w:t>应符合现行行业标准《电力设备预防性试验规程》</w:t>
      </w:r>
      <w:r>
        <w:rPr>
          <w:rFonts w:hint="eastAsia" w:ascii="宋体" w:hAnsi="宋体" w:eastAsia="宋体" w:cs="宋体"/>
          <w:color w:val="auto"/>
          <w:sz w:val="24"/>
          <w:szCs w:val="24"/>
          <w:highlight w:val="none"/>
          <w:lang w:val="en-US" w:eastAsia="zh-CN"/>
        </w:rPr>
        <w:t>DL/T 596的</w:t>
      </w:r>
      <w:r>
        <w:rPr>
          <w:rFonts w:hint="eastAsia" w:ascii="宋体" w:hAnsi="宋体" w:cs="宋体"/>
          <w:color w:val="auto"/>
          <w:sz w:val="24"/>
          <w:szCs w:val="24"/>
          <w:highlight w:val="none"/>
          <w:lang w:val="en-US" w:eastAsia="zh-CN"/>
        </w:rPr>
        <w:t>相关规定</w:t>
      </w:r>
      <w:r>
        <w:rPr>
          <w:rFonts w:hint="eastAsia" w:ascii="宋体" w:hAnsi="宋体" w:eastAsia="宋体" w:cs="宋体"/>
          <w:color w:val="auto"/>
          <w:sz w:val="24"/>
          <w:szCs w:val="24"/>
          <w:highlight w:val="none"/>
          <w:lang w:val="en-US" w:eastAsia="zh-CN"/>
        </w:rPr>
        <w:t>进行预防性试验，物业服务/使用单位做好监督和验收工作，确保电气设备的安全正常运行。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9.1.3</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应急发电机能随时起动，每月</w:t>
      </w:r>
      <w:r>
        <w:rPr>
          <w:rFonts w:hint="eastAsia" w:ascii="宋体" w:hAnsi="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rPr>
        <w:t>1次</w:t>
      </w:r>
      <w:r>
        <w:rPr>
          <w:rFonts w:hint="eastAsia" w:ascii="宋体" w:hAnsi="宋体" w:eastAsia="宋体" w:cs="宋体"/>
          <w:color w:val="auto"/>
          <w:sz w:val="24"/>
          <w:szCs w:val="24"/>
          <w:highlight w:val="none"/>
          <w:lang w:val="zh-CN" w:eastAsia="zh-CN"/>
        </w:rPr>
        <w:t>功能</w:t>
      </w:r>
      <w:r>
        <w:rPr>
          <w:rFonts w:hint="eastAsia" w:ascii="宋体" w:hAnsi="宋体" w:eastAsia="宋体" w:cs="宋体"/>
          <w:color w:val="auto"/>
          <w:sz w:val="24"/>
          <w:szCs w:val="24"/>
          <w:highlight w:val="none"/>
          <w:lang w:val="en-US" w:eastAsia="zh-CN"/>
        </w:rPr>
        <w:t>性试运行，</w:t>
      </w:r>
      <w:r>
        <w:rPr>
          <w:rFonts w:hint="eastAsia" w:ascii="宋体" w:hAnsi="宋体" w:eastAsia="宋体" w:cs="宋体"/>
          <w:color w:val="auto"/>
          <w:sz w:val="24"/>
          <w:szCs w:val="24"/>
          <w:highlight w:val="none"/>
          <w:lang w:val="zh-CN" w:eastAsia="zh-CN"/>
        </w:rPr>
        <w:t>检测是否满足安全、消防相关要求，检验发电机</w:t>
      </w:r>
      <w:r>
        <w:rPr>
          <w:rFonts w:hint="eastAsia" w:ascii="宋体" w:hAnsi="宋体" w:eastAsia="宋体" w:cs="宋体"/>
          <w:color w:val="auto"/>
          <w:sz w:val="24"/>
          <w:szCs w:val="24"/>
          <w:highlight w:val="none"/>
          <w:lang w:val="en-US" w:eastAsia="zh-CN"/>
        </w:rPr>
        <w:t>手动及自动</w:t>
      </w:r>
      <w:r>
        <w:rPr>
          <w:rFonts w:hint="eastAsia" w:ascii="宋体" w:hAnsi="宋体" w:eastAsia="宋体" w:cs="宋体"/>
          <w:color w:val="auto"/>
          <w:sz w:val="24"/>
          <w:szCs w:val="24"/>
          <w:highlight w:val="none"/>
          <w:lang w:val="zh-CN" w:eastAsia="zh-CN"/>
        </w:rPr>
        <w:t>启动情况和投切情况</w:t>
      </w:r>
      <w:r>
        <w:rPr>
          <w:rFonts w:hint="eastAsia" w:ascii="宋体" w:hAnsi="宋体" w:eastAsia="宋体" w:cs="宋体"/>
          <w:color w:val="auto"/>
          <w:sz w:val="24"/>
          <w:szCs w:val="24"/>
          <w:highlight w:val="none"/>
          <w:lang w:val="en-US" w:eastAsia="zh-CN"/>
        </w:rPr>
        <w:t>是否正常</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各类表计显示是否正常，油料储存应符合安全要求，</w:t>
      </w:r>
      <w:r>
        <w:rPr>
          <w:rFonts w:hint="eastAsia" w:ascii="宋体" w:hAnsi="宋体" w:eastAsia="宋体" w:cs="宋体"/>
          <w:color w:val="auto"/>
          <w:sz w:val="24"/>
          <w:szCs w:val="24"/>
          <w:highlight w:val="none"/>
          <w:lang w:val="zh-CN" w:eastAsia="zh-CN"/>
        </w:rPr>
        <w:t>试发</w:t>
      </w:r>
      <w:r>
        <w:rPr>
          <w:rFonts w:hint="eastAsia" w:ascii="宋体" w:hAnsi="宋体" w:eastAsia="宋体" w:cs="宋体"/>
          <w:color w:val="auto"/>
          <w:sz w:val="24"/>
          <w:szCs w:val="24"/>
          <w:highlight w:val="none"/>
          <w:lang w:val="en-US" w:eastAsia="zh-CN"/>
        </w:rPr>
        <w:t>电</w:t>
      </w:r>
      <w:r>
        <w:rPr>
          <w:rFonts w:hint="eastAsia" w:ascii="宋体" w:hAnsi="宋体" w:eastAsia="宋体" w:cs="宋体"/>
          <w:color w:val="auto"/>
          <w:sz w:val="24"/>
          <w:szCs w:val="24"/>
          <w:highlight w:val="none"/>
          <w:lang w:val="zh-CN" w:eastAsia="zh-CN"/>
        </w:rPr>
        <w:t>机油压力、水温、</w:t>
      </w:r>
      <w:r>
        <w:rPr>
          <w:rFonts w:hint="eastAsia" w:ascii="宋体" w:hAnsi="宋体" w:eastAsia="宋体" w:cs="宋体"/>
          <w:color w:val="auto"/>
          <w:sz w:val="24"/>
          <w:szCs w:val="24"/>
          <w:highlight w:val="none"/>
          <w:lang w:val="en-US" w:eastAsia="zh-CN"/>
        </w:rPr>
        <w:t>机器运转声音和排烟是否正常</w:t>
      </w:r>
      <w:r>
        <w:rPr>
          <w:rFonts w:hint="eastAsia" w:ascii="宋体" w:hAnsi="宋体" w:eastAsia="宋体" w:cs="宋体"/>
          <w:color w:val="auto"/>
          <w:sz w:val="24"/>
          <w:szCs w:val="24"/>
          <w:highlight w:val="none"/>
          <w:lang w:val="zh-CN" w:eastAsia="zh-CN"/>
        </w:rPr>
        <w:t>，蓄电池</w:t>
      </w:r>
      <w:r>
        <w:rPr>
          <w:rFonts w:hint="eastAsia" w:ascii="宋体" w:hAnsi="宋体" w:eastAsia="宋体" w:cs="宋体"/>
          <w:color w:val="auto"/>
          <w:sz w:val="24"/>
          <w:szCs w:val="24"/>
          <w:highlight w:val="none"/>
          <w:lang w:val="en-US" w:eastAsia="zh-CN"/>
        </w:rPr>
        <w:t>电</w:t>
      </w:r>
      <w:r>
        <w:rPr>
          <w:rFonts w:hint="eastAsia" w:ascii="宋体" w:hAnsi="宋体" w:eastAsia="宋体" w:cs="宋体"/>
          <w:color w:val="auto"/>
          <w:sz w:val="24"/>
          <w:szCs w:val="24"/>
          <w:highlight w:val="none"/>
          <w:lang w:val="zh-CN" w:eastAsia="zh-CN"/>
        </w:rPr>
        <w:t>压、</w:t>
      </w:r>
      <w:r>
        <w:rPr>
          <w:rFonts w:hint="eastAsia" w:ascii="宋体" w:hAnsi="宋体" w:eastAsia="宋体" w:cs="宋体"/>
          <w:color w:val="auto"/>
          <w:sz w:val="24"/>
          <w:szCs w:val="24"/>
          <w:highlight w:val="none"/>
          <w:lang w:val="en-US" w:eastAsia="zh-CN"/>
        </w:rPr>
        <w:t>液</w:t>
      </w:r>
      <w:r>
        <w:rPr>
          <w:rFonts w:hint="eastAsia" w:ascii="宋体" w:hAnsi="宋体" w:eastAsia="宋体" w:cs="宋体"/>
          <w:color w:val="auto"/>
          <w:sz w:val="24"/>
          <w:szCs w:val="24"/>
          <w:highlight w:val="none"/>
          <w:lang w:val="zh-CN" w:eastAsia="zh-CN"/>
        </w:rPr>
        <w:t>面、</w:t>
      </w:r>
      <w:r>
        <w:rPr>
          <w:rFonts w:hint="eastAsia" w:ascii="宋体" w:hAnsi="宋体" w:eastAsia="宋体" w:cs="宋体"/>
          <w:color w:val="auto"/>
          <w:sz w:val="24"/>
          <w:szCs w:val="24"/>
          <w:highlight w:val="none"/>
          <w:lang w:val="en-US" w:eastAsia="zh-CN"/>
        </w:rPr>
        <w:t>外表是否</w:t>
      </w:r>
      <w:r>
        <w:rPr>
          <w:rFonts w:hint="eastAsia" w:ascii="宋体" w:hAnsi="宋体" w:eastAsia="宋体" w:cs="宋体"/>
          <w:color w:val="auto"/>
          <w:sz w:val="24"/>
          <w:szCs w:val="24"/>
          <w:highlight w:val="none"/>
          <w:lang w:val="zh-CN" w:eastAsia="zh-CN"/>
        </w:rPr>
        <w:t>正常</w:t>
      </w:r>
      <w:r>
        <w:rPr>
          <w:rFonts w:hint="eastAsia" w:ascii="宋体" w:hAnsi="宋体" w:eastAsia="宋体" w:cs="宋体"/>
          <w:color w:val="auto"/>
          <w:sz w:val="24"/>
          <w:szCs w:val="24"/>
          <w:highlight w:val="none"/>
          <w:lang w:val="en-US" w:eastAsia="zh-CN"/>
        </w:rPr>
        <w:t>，对发电机蓄电池组每月进行1次充放电试验并</w:t>
      </w:r>
      <w:r>
        <w:rPr>
          <w:rFonts w:hint="eastAsia" w:ascii="宋体" w:hAnsi="宋体" w:eastAsia="宋体" w:cs="宋体"/>
          <w:color w:val="auto"/>
          <w:sz w:val="24"/>
          <w:szCs w:val="24"/>
          <w:highlight w:val="none"/>
          <w:lang w:val="zh-CN" w:eastAsia="zh-CN"/>
        </w:rPr>
        <w:t>做好</w:t>
      </w:r>
      <w:r>
        <w:rPr>
          <w:rFonts w:hint="eastAsia" w:ascii="宋体" w:hAnsi="宋体" w:eastAsia="宋体" w:cs="宋体"/>
          <w:color w:val="auto"/>
          <w:sz w:val="24"/>
          <w:szCs w:val="24"/>
          <w:highlight w:val="none"/>
          <w:lang w:val="en-US" w:eastAsia="zh-CN"/>
        </w:rPr>
        <w:t>测试</w:t>
      </w:r>
      <w:r>
        <w:rPr>
          <w:rFonts w:hint="eastAsia" w:ascii="宋体" w:hAnsi="宋体" w:eastAsia="宋体" w:cs="宋体"/>
          <w:color w:val="auto"/>
          <w:sz w:val="24"/>
          <w:szCs w:val="24"/>
          <w:highlight w:val="none"/>
          <w:lang w:val="zh-CN" w:eastAsia="zh-CN"/>
        </w:rPr>
        <w:t>记录</w:t>
      </w:r>
      <w:r>
        <w:rPr>
          <w:rFonts w:hint="eastAsia" w:ascii="宋体" w:hAnsi="宋体" w:eastAsia="宋体" w:cs="宋体"/>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9.1.4</w:t>
      </w:r>
      <w:r>
        <w:rPr>
          <w:rFonts w:hint="eastAsia" w:ascii="宋体" w:hAnsi="宋体" w:eastAsia="宋体" w:cs="宋体"/>
          <w:color w:val="auto"/>
          <w:sz w:val="24"/>
          <w:szCs w:val="24"/>
          <w:highlight w:val="none"/>
          <w:lang w:val="en-US" w:eastAsia="zh-CN"/>
        </w:rPr>
        <w:t xml:space="preserve">  宜建立停（送）电审批制度，对</w:t>
      </w:r>
      <w:r>
        <w:rPr>
          <w:rFonts w:hint="eastAsia" w:ascii="宋体" w:hAnsi="宋体" w:eastAsia="宋体" w:cs="宋体"/>
          <w:color w:val="auto"/>
          <w:sz w:val="24"/>
          <w:szCs w:val="24"/>
          <w:highlight w:val="none"/>
          <w:lang w:val="zh-CN" w:eastAsia="zh-CN"/>
        </w:rPr>
        <w:t>计划性限电、停电、送电</w:t>
      </w:r>
      <w:r>
        <w:rPr>
          <w:rFonts w:hint="eastAsia" w:ascii="宋体" w:hAnsi="宋体" w:eastAsia="宋体" w:cs="宋体"/>
          <w:color w:val="auto"/>
          <w:sz w:val="24"/>
          <w:szCs w:val="24"/>
          <w:highlight w:val="none"/>
          <w:lang w:val="en-US" w:eastAsia="zh-CN"/>
        </w:rPr>
        <w:t>有</w:t>
      </w:r>
      <w:r>
        <w:rPr>
          <w:rFonts w:hint="eastAsia" w:ascii="宋体" w:hAnsi="宋体" w:eastAsia="宋体" w:cs="宋体"/>
          <w:color w:val="auto"/>
          <w:sz w:val="24"/>
          <w:szCs w:val="24"/>
          <w:highlight w:val="none"/>
          <w:lang w:val="zh-CN" w:eastAsia="zh-CN"/>
        </w:rPr>
        <w:t>提前通知客户。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9.1.5</w:t>
      </w:r>
      <w:r>
        <w:rPr>
          <w:rFonts w:hint="eastAsia" w:ascii="宋体" w:hAnsi="宋体" w:eastAsia="宋体" w:cs="宋体"/>
          <w:color w:val="auto"/>
          <w:sz w:val="24"/>
          <w:szCs w:val="24"/>
          <w:highlight w:val="none"/>
          <w:lang w:val="en-US" w:eastAsia="zh-CN"/>
        </w:rPr>
        <w:t xml:space="preserve">  应制定临时用水用电管理规定，需要临时用水用电的单位，经申请审批后，按规范装设后才能使用。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9.1.6</w:t>
      </w:r>
      <w:r>
        <w:rPr>
          <w:rFonts w:hint="eastAsia" w:ascii="宋体" w:hAnsi="宋体" w:eastAsia="宋体" w:cs="宋体"/>
          <w:color w:val="auto"/>
          <w:sz w:val="24"/>
          <w:szCs w:val="24"/>
          <w:highlight w:val="none"/>
          <w:lang w:val="en-US" w:eastAsia="zh-CN"/>
        </w:rPr>
        <w:t xml:space="preserve">  项目主要分类的供配设施设备巡查维护保养服务标准见表9.1.6。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p>
    <w:p>
      <w:pPr>
        <w:pStyle w:val="6"/>
        <w:tabs>
          <w:tab w:val="left" w:pos="420"/>
        </w:tabs>
        <w:spacing w:before="312" w:beforeLines="100" w:after="0" w:line="240" w:lineRule="auto"/>
        <w:jc w:val="center"/>
        <w:outlineLvl w:val="1"/>
        <w:rPr>
          <w:rFonts w:hint="eastAsia" w:ascii="Times New Roman" w:hAnsi="Times New Roman" w:eastAsia="黑体" w:cs="Times New Roman"/>
          <w:bCs w:val="0"/>
          <w:sz w:val="21"/>
          <w:szCs w:val="24"/>
          <w:highlight w:val="none"/>
          <w:lang w:val="en-US" w:eastAsia="zh-CN"/>
        </w:rPr>
      </w:pPr>
      <w:bookmarkStart w:id="155" w:name="_Toc25235"/>
      <w:r>
        <w:rPr>
          <w:rFonts w:hint="eastAsia" w:ascii="Times New Roman" w:hAnsi="Times New Roman" w:eastAsia="黑体" w:cs="Times New Roman"/>
          <w:bCs w:val="0"/>
          <w:sz w:val="21"/>
          <w:szCs w:val="24"/>
          <w:highlight w:val="none"/>
          <w:lang w:val="en-US" w:eastAsia="zh-CN"/>
        </w:rPr>
        <w:t>表9.1.6  项目主要分类服务标准-供配电系统巡查维护</w:t>
      </w:r>
      <w:bookmarkEnd w:id="155"/>
    </w:p>
    <w:tbl>
      <w:tblPr>
        <w:tblStyle w:val="38"/>
        <w:tblW w:w="85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9"/>
        <w:gridCol w:w="504"/>
        <w:gridCol w:w="1528"/>
        <w:gridCol w:w="543"/>
        <w:gridCol w:w="1436"/>
        <w:gridCol w:w="619"/>
        <w:gridCol w:w="1141"/>
        <w:gridCol w:w="625"/>
        <w:gridCol w:w="13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89" w:type="dxa"/>
            <w:vMerge w:val="restart"/>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服务</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项目</w:t>
            </w:r>
          </w:p>
        </w:tc>
        <w:tc>
          <w:tcPr>
            <w:tcW w:w="2032" w:type="dxa"/>
            <w:gridSpan w:val="2"/>
            <w:tcBorders>
              <w:top w:val="single" w:color="000000" w:sz="12"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电力调度大楼</w:t>
            </w:r>
          </w:p>
        </w:tc>
        <w:tc>
          <w:tcPr>
            <w:tcW w:w="1979" w:type="dxa"/>
            <w:gridSpan w:val="2"/>
            <w:tcBorders>
              <w:top w:val="single" w:color="000000" w:sz="12"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发电厂</w:t>
            </w:r>
          </w:p>
        </w:tc>
        <w:tc>
          <w:tcPr>
            <w:tcW w:w="1760" w:type="dxa"/>
            <w:gridSpan w:val="2"/>
            <w:tcBorders>
              <w:top w:val="single" w:color="000000" w:sz="12"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换流站、变电站</w:t>
            </w:r>
          </w:p>
        </w:tc>
        <w:tc>
          <w:tcPr>
            <w:tcW w:w="1957" w:type="dxa"/>
            <w:gridSpan w:val="2"/>
            <w:tcBorders>
              <w:top w:val="single" w:color="000000" w:sz="12" w:space="0"/>
              <w:left w:val="single" w:color="000000" w:sz="4" w:space="0"/>
              <w:bottom w:val="single" w:color="000000" w:sz="4" w:space="0"/>
              <w:right w:val="single" w:color="000000" w:sz="12"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仓储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89" w:type="dxa"/>
            <w:vMerge w:val="continue"/>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val="0"/>
                <w:bCs w:val="0"/>
                <w:i w:val="0"/>
                <w:iCs w:val="0"/>
                <w:color w:val="auto"/>
                <w:sz w:val="18"/>
                <w:szCs w:val="18"/>
                <w:highlight w:val="none"/>
                <w:u w:val="none"/>
              </w:rPr>
            </w:pPr>
          </w:p>
        </w:tc>
        <w:tc>
          <w:tcPr>
            <w:tcW w:w="504"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频次</w:t>
            </w:r>
          </w:p>
        </w:tc>
        <w:tc>
          <w:tcPr>
            <w:tcW w:w="1528"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服务标准</w:t>
            </w:r>
          </w:p>
        </w:tc>
        <w:tc>
          <w:tcPr>
            <w:tcW w:w="543"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频次</w:t>
            </w:r>
          </w:p>
        </w:tc>
        <w:tc>
          <w:tcPr>
            <w:tcW w:w="1436"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服务标准</w:t>
            </w:r>
          </w:p>
        </w:tc>
        <w:tc>
          <w:tcPr>
            <w:tcW w:w="619"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频次</w:t>
            </w:r>
          </w:p>
        </w:tc>
        <w:tc>
          <w:tcPr>
            <w:tcW w:w="1141"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服务标准</w:t>
            </w:r>
          </w:p>
        </w:tc>
        <w:tc>
          <w:tcPr>
            <w:tcW w:w="625"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频次</w:t>
            </w:r>
          </w:p>
        </w:tc>
        <w:tc>
          <w:tcPr>
            <w:tcW w:w="1332" w:type="dxa"/>
            <w:tcBorders>
              <w:top w:val="single" w:color="000000" w:sz="4" w:space="0"/>
              <w:left w:val="single" w:color="000000" w:sz="4" w:space="0"/>
              <w:bottom w:val="single" w:color="000000" w:sz="12" w:space="0"/>
              <w:right w:val="single" w:color="000000" w:sz="12"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服务标准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2" w:hRule="atLeast"/>
          <w:jc w:val="center"/>
        </w:trPr>
        <w:tc>
          <w:tcPr>
            <w:tcW w:w="789" w:type="dxa"/>
            <w:vMerge w:val="restart"/>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变</w:t>
            </w:r>
          </w:p>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压</w:t>
            </w:r>
          </w:p>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18"/>
                <w:szCs w:val="18"/>
                <w:highlight w:val="none"/>
                <w:lang w:val="en-US" w:eastAsia="zh-CN"/>
              </w:rPr>
              <w:t>器</w:t>
            </w:r>
          </w:p>
        </w:tc>
        <w:tc>
          <w:tcPr>
            <w:tcW w:w="504" w:type="dxa"/>
            <w:tcBorders>
              <w:top w:val="single" w:color="000000" w:sz="12"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kern w:val="0"/>
                <w:sz w:val="18"/>
                <w:szCs w:val="18"/>
                <w:highlight w:val="none"/>
                <w:lang w:val="en-US" w:eastAsia="zh-CN" w:bidi="ar"/>
              </w:rPr>
              <w:t>巡查</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kern w:val="0"/>
                <w:sz w:val="18"/>
                <w:szCs w:val="18"/>
                <w:highlight w:val="none"/>
                <w:lang w:val="en-US" w:eastAsia="zh-CN" w:bidi="ar"/>
              </w:rPr>
              <w:t>3次/日</w:t>
            </w:r>
          </w:p>
        </w:tc>
        <w:tc>
          <w:tcPr>
            <w:tcW w:w="1528" w:type="dxa"/>
            <w:tcBorders>
              <w:top w:val="single" w:color="000000" w:sz="12"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运行声音及温度</w:t>
            </w:r>
            <w:r>
              <w:rPr>
                <w:rFonts w:hint="eastAsia" w:ascii="宋体" w:hAnsi="宋体" w:cs="宋体"/>
                <w:color w:val="auto"/>
                <w:kern w:val="0"/>
                <w:sz w:val="18"/>
                <w:szCs w:val="18"/>
                <w:highlight w:val="none"/>
                <w:lang w:val="en-US" w:eastAsia="zh-CN" w:bidi="ar"/>
              </w:rPr>
              <w:t>正</w:t>
            </w:r>
            <w:r>
              <w:rPr>
                <w:rFonts w:hint="eastAsia" w:ascii="宋体" w:hAnsi="宋体" w:eastAsia="宋体" w:cs="宋体"/>
                <w:color w:val="auto"/>
                <w:kern w:val="0"/>
                <w:sz w:val="18"/>
                <w:szCs w:val="18"/>
                <w:highlight w:val="none"/>
                <w:lang w:val="en-US" w:eastAsia="zh-CN" w:bidi="ar"/>
              </w:rPr>
              <w:t>常，无异常震动、母排无异常发热，绝缘子无破损、防小动物措施严密</w:t>
            </w:r>
          </w:p>
        </w:tc>
        <w:tc>
          <w:tcPr>
            <w:tcW w:w="543" w:type="dxa"/>
            <w:tcBorders>
              <w:top w:val="single" w:color="000000" w:sz="12"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kern w:val="0"/>
                <w:sz w:val="18"/>
                <w:szCs w:val="18"/>
                <w:highlight w:val="none"/>
                <w:lang w:val="en-US" w:eastAsia="zh-CN" w:bidi="ar"/>
              </w:rPr>
              <w:t>巡查</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kern w:val="0"/>
                <w:sz w:val="18"/>
                <w:szCs w:val="18"/>
                <w:highlight w:val="none"/>
                <w:lang w:val="en-US" w:eastAsia="zh-CN" w:bidi="ar"/>
              </w:rPr>
              <w:t>3次/日</w:t>
            </w:r>
          </w:p>
        </w:tc>
        <w:tc>
          <w:tcPr>
            <w:tcW w:w="1436" w:type="dxa"/>
            <w:tcBorders>
              <w:top w:val="single" w:color="000000" w:sz="12"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bidi="ar"/>
              </w:rPr>
              <w:t>运行声音及温度正常，无异常震动、母排无异常发热，绝缘子无破损、防小动物措施严密</w:t>
            </w:r>
          </w:p>
        </w:tc>
        <w:tc>
          <w:tcPr>
            <w:tcW w:w="619" w:type="dxa"/>
            <w:tcBorders>
              <w:top w:val="single" w:color="000000" w:sz="12"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w:t>
            </w:r>
          </w:p>
        </w:tc>
        <w:tc>
          <w:tcPr>
            <w:tcW w:w="1141" w:type="dxa"/>
            <w:tcBorders>
              <w:top w:val="single" w:color="000000" w:sz="12"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w:t>
            </w:r>
          </w:p>
        </w:tc>
        <w:tc>
          <w:tcPr>
            <w:tcW w:w="625" w:type="dxa"/>
            <w:tcBorders>
              <w:top w:val="single" w:color="000000" w:sz="12"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w:t>
            </w:r>
          </w:p>
        </w:tc>
        <w:tc>
          <w:tcPr>
            <w:tcW w:w="1332" w:type="dxa"/>
            <w:tcBorders>
              <w:top w:val="single" w:color="000000" w:sz="12" w:space="0"/>
              <w:left w:val="single" w:color="000000" w:sz="4" w:space="0"/>
              <w:bottom w:val="single" w:color="000000" w:sz="4" w:space="0"/>
              <w:right w:val="single" w:color="000000" w:sz="12"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1" w:hRule="atLeast"/>
          <w:jc w:val="center"/>
        </w:trPr>
        <w:tc>
          <w:tcPr>
            <w:tcW w:w="789" w:type="dxa"/>
            <w:vMerge w:val="continue"/>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color w:val="auto"/>
                <w:sz w:val="18"/>
                <w:szCs w:val="18"/>
                <w:highlight w:val="none"/>
              </w:rPr>
            </w:pPr>
          </w:p>
        </w:tc>
        <w:tc>
          <w:tcPr>
            <w:tcW w:w="5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保养</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kern w:val="0"/>
                <w:sz w:val="18"/>
                <w:szCs w:val="18"/>
                <w:highlight w:val="none"/>
                <w:lang w:val="en-US" w:eastAsia="zh-CN" w:bidi="ar"/>
              </w:rPr>
              <w:t>1次/年</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sz w:val="18"/>
                <w:szCs w:val="18"/>
                <w:highlight w:val="none"/>
              </w:rPr>
              <w:t>检测接地</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线圈绝缘电阻，各接线装置紧固</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清理灰尘</w:t>
            </w:r>
          </w:p>
        </w:tc>
        <w:tc>
          <w:tcPr>
            <w:tcW w:w="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保养</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kern w:val="0"/>
                <w:sz w:val="18"/>
                <w:szCs w:val="18"/>
                <w:highlight w:val="none"/>
                <w:lang w:val="en-US" w:eastAsia="zh-CN" w:bidi="ar"/>
              </w:rPr>
              <w:t>1次/年</w:t>
            </w:r>
          </w:p>
        </w:tc>
        <w:tc>
          <w:tcPr>
            <w:tcW w:w="14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rPr>
              <w:t>检测接地</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线圈绝缘电阻，各接线装置紧固</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清理灰尘</w:t>
            </w:r>
          </w:p>
        </w:tc>
        <w:tc>
          <w:tcPr>
            <w:tcW w:w="6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w:t>
            </w:r>
          </w:p>
        </w:tc>
        <w:tc>
          <w:tcPr>
            <w:tcW w:w="11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w:t>
            </w:r>
          </w:p>
        </w:tc>
        <w:tc>
          <w:tcPr>
            <w:tcW w:w="1332" w:type="dxa"/>
            <w:tcBorders>
              <w:top w:val="single" w:color="000000" w:sz="4" w:space="0"/>
              <w:left w:val="single" w:color="000000" w:sz="4" w:space="0"/>
              <w:bottom w:val="single" w:color="000000" w:sz="4" w:space="0"/>
              <w:right w:val="single" w:color="000000" w:sz="12"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3" w:hRule="atLeast"/>
          <w:jc w:val="center"/>
        </w:trPr>
        <w:tc>
          <w:tcPr>
            <w:tcW w:w="789" w:type="dxa"/>
            <w:vMerge w:val="restart"/>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lang w:val="en-US"/>
              </w:rPr>
            </w:pPr>
            <w:r>
              <w:rPr>
                <w:rFonts w:hint="eastAsia" w:ascii="宋体" w:hAnsi="宋体" w:eastAsia="宋体" w:cs="宋体"/>
                <w:color w:val="auto"/>
                <w:sz w:val="18"/>
                <w:szCs w:val="18"/>
                <w:highlight w:val="none"/>
              </w:rPr>
              <w:t>配电柜</w:t>
            </w:r>
          </w:p>
        </w:tc>
        <w:tc>
          <w:tcPr>
            <w:tcW w:w="5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kern w:val="0"/>
                <w:sz w:val="18"/>
                <w:szCs w:val="18"/>
                <w:highlight w:val="none"/>
                <w:lang w:val="en-US" w:eastAsia="zh-CN" w:bidi="ar"/>
              </w:rPr>
              <w:t>巡查</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kern w:val="0"/>
                <w:sz w:val="18"/>
                <w:szCs w:val="18"/>
                <w:highlight w:val="none"/>
                <w:lang w:val="en-US" w:eastAsia="zh-CN" w:bidi="ar"/>
              </w:rPr>
              <w:t>3次/日</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18"/>
                <w:szCs w:val="18"/>
                <w:highlight w:val="none"/>
              </w:rPr>
              <w:t>清洁卫生</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电压、电流是否正常</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三相负荷是否平衡</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无异响</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触头</w:t>
            </w:r>
            <w:r>
              <w:rPr>
                <w:rFonts w:hint="eastAsia" w:ascii="宋体" w:hAnsi="宋体" w:eastAsia="宋体" w:cs="宋体"/>
                <w:color w:val="auto"/>
                <w:sz w:val="18"/>
                <w:szCs w:val="18"/>
                <w:highlight w:val="none"/>
                <w:lang w:val="en-US" w:eastAsia="zh-CN"/>
              </w:rPr>
              <w:t>无</w:t>
            </w:r>
            <w:r>
              <w:rPr>
                <w:rFonts w:hint="eastAsia" w:ascii="宋体" w:hAnsi="宋体" w:eastAsia="宋体" w:cs="宋体"/>
                <w:color w:val="auto"/>
                <w:sz w:val="18"/>
                <w:szCs w:val="18"/>
                <w:highlight w:val="none"/>
              </w:rPr>
              <w:t>过热</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功率因数是否达</w:t>
            </w:r>
            <w:r>
              <w:rPr>
                <w:rFonts w:hint="eastAsia" w:ascii="宋体" w:hAnsi="宋体" w:eastAsia="宋体" w:cs="宋体"/>
                <w:color w:val="auto"/>
                <w:sz w:val="18"/>
                <w:szCs w:val="18"/>
                <w:highlight w:val="none"/>
                <w:lang w:val="en-US" w:eastAsia="zh-CN"/>
              </w:rPr>
              <w:t>标</w:t>
            </w:r>
          </w:p>
        </w:tc>
        <w:tc>
          <w:tcPr>
            <w:tcW w:w="5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kern w:val="0"/>
                <w:sz w:val="18"/>
                <w:szCs w:val="18"/>
                <w:highlight w:val="none"/>
                <w:lang w:val="en-US" w:eastAsia="zh-CN" w:bidi="ar"/>
              </w:rPr>
              <w:t>巡查</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kern w:val="0"/>
                <w:sz w:val="18"/>
                <w:szCs w:val="18"/>
                <w:highlight w:val="none"/>
                <w:lang w:val="en-US" w:eastAsia="zh-CN" w:bidi="ar"/>
              </w:rPr>
              <w:t>2次/日</w:t>
            </w:r>
          </w:p>
        </w:tc>
        <w:tc>
          <w:tcPr>
            <w:tcW w:w="14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rPr>
              <w:t>清洁卫生</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电压、电流是否正常</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三相负荷是否平衡</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无异响</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触头</w:t>
            </w:r>
            <w:r>
              <w:rPr>
                <w:rFonts w:hint="eastAsia" w:ascii="宋体" w:hAnsi="宋体" w:eastAsia="宋体" w:cs="宋体"/>
                <w:color w:val="auto"/>
                <w:sz w:val="18"/>
                <w:szCs w:val="18"/>
                <w:highlight w:val="none"/>
                <w:lang w:val="en-US" w:eastAsia="zh-CN"/>
              </w:rPr>
              <w:t>无</w:t>
            </w:r>
            <w:r>
              <w:rPr>
                <w:rFonts w:hint="eastAsia" w:ascii="宋体" w:hAnsi="宋体" w:eastAsia="宋体" w:cs="宋体"/>
                <w:color w:val="auto"/>
                <w:sz w:val="18"/>
                <w:szCs w:val="18"/>
                <w:highlight w:val="none"/>
              </w:rPr>
              <w:t>过热</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功率因数是否达</w:t>
            </w:r>
            <w:r>
              <w:rPr>
                <w:rFonts w:hint="eastAsia" w:ascii="宋体" w:hAnsi="宋体" w:eastAsia="宋体" w:cs="宋体"/>
                <w:color w:val="auto"/>
                <w:sz w:val="18"/>
                <w:szCs w:val="18"/>
                <w:highlight w:val="none"/>
                <w:lang w:val="en-US" w:eastAsia="zh-CN"/>
              </w:rPr>
              <w:t>标</w:t>
            </w:r>
          </w:p>
        </w:tc>
        <w:tc>
          <w:tcPr>
            <w:tcW w:w="6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bidi="ar"/>
              </w:rPr>
              <w:t>巡查</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kern w:val="0"/>
                <w:sz w:val="18"/>
                <w:szCs w:val="18"/>
                <w:highlight w:val="none"/>
                <w:lang w:val="en-US" w:eastAsia="zh-CN" w:bidi="ar"/>
              </w:rPr>
              <w:t>2次/日</w:t>
            </w:r>
          </w:p>
        </w:tc>
        <w:tc>
          <w:tcPr>
            <w:tcW w:w="11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rPr>
              <w:t>清洁卫生</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电压、电流是否正常</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三相负荷是否平衡</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无异响</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触头</w:t>
            </w:r>
            <w:r>
              <w:rPr>
                <w:rFonts w:hint="eastAsia" w:ascii="宋体" w:hAnsi="宋体" w:eastAsia="宋体" w:cs="宋体"/>
                <w:color w:val="auto"/>
                <w:sz w:val="18"/>
                <w:szCs w:val="18"/>
                <w:highlight w:val="none"/>
                <w:lang w:val="en-US" w:eastAsia="zh-CN"/>
              </w:rPr>
              <w:t>无</w:t>
            </w:r>
            <w:r>
              <w:rPr>
                <w:rFonts w:hint="eastAsia" w:ascii="宋体" w:hAnsi="宋体" w:eastAsia="宋体" w:cs="宋体"/>
                <w:color w:val="auto"/>
                <w:sz w:val="18"/>
                <w:szCs w:val="18"/>
                <w:highlight w:val="none"/>
              </w:rPr>
              <w:t>过热</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功率因数是否达</w:t>
            </w:r>
            <w:r>
              <w:rPr>
                <w:rFonts w:hint="eastAsia" w:ascii="宋体" w:hAnsi="宋体" w:eastAsia="宋体" w:cs="宋体"/>
                <w:color w:val="auto"/>
                <w:sz w:val="18"/>
                <w:szCs w:val="18"/>
                <w:highlight w:val="none"/>
                <w:lang w:val="en-US" w:eastAsia="zh-CN"/>
              </w:rPr>
              <w:t>标</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bidi="ar"/>
              </w:rPr>
              <w:t>巡查</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kern w:val="0"/>
                <w:sz w:val="18"/>
                <w:szCs w:val="18"/>
                <w:highlight w:val="none"/>
                <w:lang w:val="en-US" w:eastAsia="zh-CN" w:bidi="ar"/>
              </w:rPr>
              <w:t>1次/日</w:t>
            </w:r>
          </w:p>
        </w:tc>
        <w:tc>
          <w:tcPr>
            <w:tcW w:w="1332" w:type="dxa"/>
            <w:tcBorders>
              <w:top w:val="single" w:color="000000" w:sz="4" w:space="0"/>
              <w:left w:val="single" w:color="000000" w:sz="4" w:space="0"/>
              <w:bottom w:val="single" w:color="000000" w:sz="4" w:space="0"/>
              <w:right w:val="single" w:color="000000" w:sz="12" w:space="0"/>
            </w:tcBorders>
            <w:noWrap/>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rPr>
              <w:t>清洁卫生</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电压、电流是否正常</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三相负荷是否平衡</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无异响</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触头</w:t>
            </w:r>
            <w:r>
              <w:rPr>
                <w:rFonts w:hint="eastAsia" w:ascii="宋体" w:hAnsi="宋体" w:eastAsia="宋体" w:cs="宋体"/>
                <w:color w:val="auto"/>
                <w:sz w:val="18"/>
                <w:szCs w:val="18"/>
                <w:highlight w:val="none"/>
                <w:lang w:val="en-US" w:eastAsia="zh-CN"/>
              </w:rPr>
              <w:t>无</w:t>
            </w:r>
            <w:r>
              <w:rPr>
                <w:rFonts w:hint="eastAsia" w:ascii="宋体" w:hAnsi="宋体" w:eastAsia="宋体" w:cs="宋体"/>
                <w:color w:val="auto"/>
                <w:sz w:val="18"/>
                <w:szCs w:val="18"/>
                <w:highlight w:val="none"/>
              </w:rPr>
              <w:t>过热</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功率因数是否达</w:t>
            </w:r>
            <w:r>
              <w:rPr>
                <w:rFonts w:hint="eastAsia" w:ascii="宋体" w:hAnsi="宋体" w:eastAsia="宋体" w:cs="宋体"/>
                <w:color w:val="auto"/>
                <w:sz w:val="18"/>
                <w:szCs w:val="18"/>
                <w:highlight w:val="none"/>
                <w:lang w:val="en-US" w:eastAsia="zh-CN"/>
              </w:rPr>
              <w:t>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jc w:val="center"/>
        </w:trPr>
        <w:tc>
          <w:tcPr>
            <w:tcW w:w="789" w:type="dxa"/>
            <w:vMerge w:val="continue"/>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color w:val="auto"/>
                <w:sz w:val="18"/>
                <w:szCs w:val="18"/>
                <w:highlight w:val="none"/>
              </w:rPr>
            </w:pPr>
          </w:p>
        </w:tc>
        <w:tc>
          <w:tcPr>
            <w:tcW w:w="504"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保养</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kern w:val="0"/>
                <w:sz w:val="18"/>
                <w:szCs w:val="18"/>
                <w:highlight w:val="none"/>
                <w:lang w:val="en-US" w:eastAsia="zh-CN" w:bidi="ar"/>
              </w:rPr>
              <w:t>1次/年</w:t>
            </w:r>
          </w:p>
        </w:tc>
        <w:tc>
          <w:tcPr>
            <w:tcW w:w="1528"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紧固螺丝，调整打磨触头</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检测接地电阻</w:t>
            </w:r>
            <w:r>
              <w:rPr>
                <w:rFonts w:hint="eastAsia" w:ascii="宋体" w:hAnsi="宋体" w:eastAsia="宋体" w:cs="宋体"/>
                <w:color w:val="auto"/>
                <w:sz w:val="18"/>
                <w:szCs w:val="18"/>
                <w:highlight w:val="none"/>
                <w:lang w:val="en-US" w:eastAsia="zh-CN"/>
              </w:rPr>
              <w:t>和</w:t>
            </w:r>
            <w:r>
              <w:rPr>
                <w:rFonts w:hint="eastAsia" w:ascii="宋体" w:hAnsi="宋体" w:eastAsia="宋体" w:cs="宋体"/>
                <w:color w:val="auto"/>
                <w:sz w:val="18"/>
                <w:szCs w:val="18"/>
                <w:highlight w:val="none"/>
              </w:rPr>
              <w:t>过流</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联锁保护装置</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除尘</w:t>
            </w:r>
          </w:p>
        </w:tc>
        <w:tc>
          <w:tcPr>
            <w:tcW w:w="543"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保养</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kern w:val="0"/>
                <w:sz w:val="18"/>
                <w:szCs w:val="18"/>
                <w:highlight w:val="none"/>
                <w:lang w:val="en-US" w:eastAsia="zh-CN" w:bidi="ar"/>
              </w:rPr>
              <w:t>1次/年</w:t>
            </w:r>
          </w:p>
        </w:tc>
        <w:tc>
          <w:tcPr>
            <w:tcW w:w="1436"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紧固螺丝，调整打磨触头</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检测接地电阻</w:t>
            </w:r>
            <w:r>
              <w:rPr>
                <w:rFonts w:hint="eastAsia" w:ascii="宋体" w:hAnsi="宋体" w:eastAsia="宋体" w:cs="宋体"/>
                <w:color w:val="auto"/>
                <w:sz w:val="18"/>
                <w:szCs w:val="18"/>
                <w:highlight w:val="none"/>
                <w:lang w:val="en-US" w:eastAsia="zh-CN"/>
              </w:rPr>
              <w:t>和</w:t>
            </w:r>
            <w:r>
              <w:rPr>
                <w:rFonts w:hint="eastAsia" w:ascii="宋体" w:hAnsi="宋体" w:eastAsia="宋体" w:cs="宋体"/>
                <w:color w:val="auto"/>
                <w:sz w:val="18"/>
                <w:szCs w:val="18"/>
                <w:highlight w:val="none"/>
              </w:rPr>
              <w:t>过流</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联锁保护装置</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除尘</w:t>
            </w:r>
          </w:p>
        </w:tc>
        <w:tc>
          <w:tcPr>
            <w:tcW w:w="619"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保养≥1次/年</w:t>
            </w:r>
          </w:p>
        </w:tc>
        <w:tc>
          <w:tcPr>
            <w:tcW w:w="1141"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紧固螺丝，调整打磨触头</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检测接地电阻</w:t>
            </w:r>
            <w:r>
              <w:rPr>
                <w:rFonts w:hint="eastAsia" w:ascii="宋体" w:hAnsi="宋体" w:eastAsia="宋体" w:cs="宋体"/>
                <w:color w:val="auto"/>
                <w:sz w:val="18"/>
                <w:szCs w:val="18"/>
                <w:highlight w:val="none"/>
                <w:lang w:val="en-US" w:eastAsia="zh-CN"/>
              </w:rPr>
              <w:t>和</w:t>
            </w:r>
            <w:r>
              <w:rPr>
                <w:rFonts w:hint="eastAsia" w:ascii="宋体" w:hAnsi="宋体" w:eastAsia="宋体" w:cs="宋体"/>
                <w:color w:val="auto"/>
                <w:sz w:val="18"/>
                <w:szCs w:val="18"/>
                <w:highlight w:val="none"/>
              </w:rPr>
              <w:t>过流</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联锁保护装置</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除尘</w:t>
            </w:r>
          </w:p>
        </w:tc>
        <w:tc>
          <w:tcPr>
            <w:tcW w:w="625"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保养≥1次/年</w:t>
            </w:r>
          </w:p>
        </w:tc>
        <w:tc>
          <w:tcPr>
            <w:tcW w:w="1332" w:type="dxa"/>
            <w:tcBorders>
              <w:top w:val="single" w:color="000000" w:sz="4" w:space="0"/>
              <w:left w:val="single" w:color="000000" w:sz="4" w:space="0"/>
              <w:bottom w:val="single" w:color="000000" w:sz="12" w:space="0"/>
              <w:right w:val="single" w:color="000000" w:sz="12" w:space="0"/>
            </w:tcBorders>
            <w:noWrap/>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紧固螺丝，调整打磨触头</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检测接地电阻</w:t>
            </w:r>
            <w:r>
              <w:rPr>
                <w:rFonts w:hint="eastAsia" w:ascii="宋体" w:hAnsi="宋体" w:eastAsia="宋体" w:cs="宋体"/>
                <w:color w:val="auto"/>
                <w:sz w:val="18"/>
                <w:szCs w:val="18"/>
                <w:highlight w:val="none"/>
                <w:lang w:val="en-US" w:eastAsia="zh-CN"/>
              </w:rPr>
              <w:t>和</w:t>
            </w:r>
            <w:r>
              <w:rPr>
                <w:rFonts w:hint="eastAsia" w:ascii="宋体" w:hAnsi="宋体" w:eastAsia="宋体" w:cs="宋体"/>
                <w:color w:val="auto"/>
                <w:sz w:val="18"/>
                <w:szCs w:val="18"/>
                <w:highlight w:val="none"/>
              </w:rPr>
              <w:t>过流</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联锁保护装置</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除尘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2" w:hRule="atLeast"/>
          <w:jc w:val="center"/>
        </w:trPr>
        <w:tc>
          <w:tcPr>
            <w:tcW w:w="789" w:type="dxa"/>
            <w:tcBorders>
              <w:top w:val="single" w:color="auto" w:sz="12" w:space="0"/>
              <w:left w:val="single" w:color="auto" w:sz="12" w:space="0"/>
              <w:bottom w:val="single" w:color="auto" w:sz="12"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备用发电机组</w:t>
            </w:r>
          </w:p>
        </w:tc>
        <w:tc>
          <w:tcPr>
            <w:tcW w:w="504" w:type="dxa"/>
            <w:tcBorders>
              <w:top w:val="single" w:color="auto" w:sz="12" w:space="0"/>
              <w:left w:val="single" w:color="auto" w:sz="4" w:space="0"/>
              <w:bottom w:val="single" w:color="auto" w:sz="12"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kern w:val="0"/>
                <w:sz w:val="18"/>
                <w:szCs w:val="18"/>
                <w:highlight w:val="none"/>
                <w:lang w:val="en-US" w:eastAsia="zh-CN" w:bidi="ar"/>
              </w:rPr>
              <w:t>空载试机</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kern w:val="0"/>
                <w:sz w:val="18"/>
                <w:szCs w:val="18"/>
                <w:highlight w:val="none"/>
                <w:lang w:val="en-US" w:eastAsia="zh-CN" w:bidi="ar"/>
              </w:rPr>
              <w:t>2次/月</w:t>
            </w:r>
          </w:p>
        </w:tc>
        <w:tc>
          <w:tcPr>
            <w:tcW w:w="1528" w:type="dxa"/>
            <w:tcBorders>
              <w:top w:val="single" w:color="auto" w:sz="12" w:space="0"/>
              <w:left w:val="single" w:color="auto" w:sz="4" w:space="0"/>
              <w:bottom w:val="single" w:color="auto" w:sz="12"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kern w:val="0"/>
                <w:sz w:val="18"/>
                <w:szCs w:val="18"/>
                <w:highlight w:val="none"/>
                <w:lang w:val="en-US" w:eastAsia="zh-CN" w:bidi="ar"/>
              </w:rPr>
              <w:t>无异音、手动/自动运行正常，电池液、电压、油位、照明正常</w:t>
            </w:r>
          </w:p>
        </w:tc>
        <w:tc>
          <w:tcPr>
            <w:tcW w:w="543" w:type="dxa"/>
            <w:tcBorders>
              <w:top w:val="single" w:color="auto" w:sz="12" w:space="0"/>
              <w:left w:val="single" w:color="auto" w:sz="4" w:space="0"/>
              <w:bottom w:val="single" w:color="auto" w:sz="12"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bidi="ar"/>
              </w:rPr>
              <w:t>空载试机</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kern w:val="0"/>
                <w:sz w:val="18"/>
                <w:szCs w:val="18"/>
                <w:highlight w:val="none"/>
                <w:lang w:val="en-US" w:eastAsia="zh-CN" w:bidi="ar"/>
              </w:rPr>
              <w:t>2次/月</w:t>
            </w:r>
          </w:p>
        </w:tc>
        <w:tc>
          <w:tcPr>
            <w:tcW w:w="1436" w:type="dxa"/>
            <w:tcBorders>
              <w:top w:val="single" w:color="auto" w:sz="12" w:space="0"/>
              <w:left w:val="single" w:color="auto" w:sz="4" w:space="0"/>
              <w:bottom w:val="single" w:color="auto" w:sz="12"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
              </w:rPr>
              <w:t>无异音、手动/自动运行正常，电池液、电压、油位、照明正常</w:t>
            </w:r>
          </w:p>
        </w:tc>
        <w:tc>
          <w:tcPr>
            <w:tcW w:w="619" w:type="dxa"/>
            <w:tcBorders>
              <w:top w:val="single" w:color="auto" w:sz="12" w:space="0"/>
              <w:left w:val="single" w:color="auto" w:sz="4" w:space="0"/>
              <w:bottom w:val="single" w:color="auto" w:sz="12"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w:t>
            </w:r>
          </w:p>
        </w:tc>
        <w:tc>
          <w:tcPr>
            <w:tcW w:w="1141" w:type="dxa"/>
            <w:tcBorders>
              <w:top w:val="single" w:color="auto" w:sz="12" w:space="0"/>
              <w:left w:val="single" w:color="auto" w:sz="4" w:space="0"/>
              <w:bottom w:val="single" w:color="auto" w:sz="12"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w:t>
            </w:r>
          </w:p>
        </w:tc>
        <w:tc>
          <w:tcPr>
            <w:tcW w:w="625" w:type="dxa"/>
            <w:tcBorders>
              <w:top w:val="single" w:color="auto" w:sz="12" w:space="0"/>
              <w:left w:val="single" w:color="auto" w:sz="4" w:space="0"/>
              <w:bottom w:val="single" w:color="auto" w:sz="12"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w:t>
            </w:r>
          </w:p>
        </w:tc>
        <w:tc>
          <w:tcPr>
            <w:tcW w:w="1332" w:type="dxa"/>
            <w:tcBorders>
              <w:top w:val="single" w:color="auto" w:sz="12" w:space="0"/>
              <w:left w:val="single" w:color="auto" w:sz="4" w:space="0"/>
              <w:bottom w:val="single" w:color="auto" w:sz="12"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156" w:name="_Toc27675"/>
      <w:bookmarkStart w:id="157" w:name="_Toc7666"/>
      <w:r>
        <w:rPr>
          <w:rFonts w:hint="eastAsia" w:ascii="宋体" w:hAnsi="宋体" w:eastAsia="宋体" w:cs="宋体"/>
          <w:b/>
          <w:bCs/>
          <w:color w:val="auto"/>
          <w:sz w:val="24"/>
          <w:szCs w:val="24"/>
          <w:highlight w:val="none"/>
          <w:lang w:val="en-US" w:eastAsia="zh-CN"/>
        </w:rPr>
        <w:t>9.2  空调系统</w:t>
      </w:r>
      <w:bookmarkEnd w:id="156"/>
      <w:bookmarkEnd w:id="157"/>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rPr>
      </w:pPr>
      <w:r>
        <w:rPr>
          <w:rFonts w:hint="eastAsia" w:ascii="Times New Roman" w:hAnsi="Times New Roman" w:eastAsia="宋体" w:cs="Times New Roman"/>
          <w:b/>
          <w:bCs/>
          <w:i w:val="0"/>
          <w:color w:val="auto"/>
          <w:kern w:val="2"/>
          <w:sz w:val="24"/>
          <w:szCs w:val="24"/>
          <w:highlight w:val="none"/>
          <w:lang w:val="en-US" w:eastAsia="zh-CN" w:bidi="ar-SA"/>
        </w:rPr>
        <w:t>9.2.1</w:t>
      </w:r>
      <w:r>
        <w:rPr>
          <w:rFonts w:hint="eastAsia" w:ascii="宋体" w:hAnsi="宋体" w:eastAsia="宋体" w:cs="宋体"/>
          <w:b w:val="0"/>
          <w:i w:val="0"/>
          <w:color w:val="auto"/>
          <w:sz w:val="21"/>
          <w:szCs w:val="21"/>
          <w:highlight w:val="none"/>
          <w:lang w:val="en-US" w:eastAsia="zh-CN" w:bidi="ar-SA"/>
        </w:rPr>
        <w:t xml:space="preserve"> </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
        </w:rPr>
        <w:t>应</w:t>
      </w:r>
      <w:r>
        <w:rPr>
          <w:rFonts w:hint="eastAsia" w:ascii="宋体" w:hAnsi="宋体" w:cs="宋体"/>
          <w:color w:val="auto"/>
          <w:kern w:val="0"/>
          <w:sz w:val="24"/>
          <w:szCs w:val="24"/>
          <w:highlight w:val="none"/>
          <w:lang w:val="en-US" w:eastAsia="zh-CN" w:bidi="ar"/>
        </w:rPr>
        <w:t>符合现行国家标准《空调通风系统运行管理标准》</w:t>
      </w:r>
      <w:r>
        <w:rPr>
          <w:rFonts w:hint="eastAsia" w:ascii="宋体" w:hAnsi="宋体" w:eastAsia="宋体" w:cs="宋体"/>
          <w:color w:val="auto"/>
          <w:kern w:val="0"/>
          <w:sz w:val="24"/>
          <w:szCs w:val="24"/>
          <w:highlight w:val="none"/>
          <w:lang w:val="en-US" w:eastAsia="zh-CN" w:bidi="ar"/>
        </w:rPr>
        <w:t>GB 50365的</w:t>
      </w:r>
      <w:r>
        <w:rPr>
          <w:rFonts w:hint="eastAsia" w:ascii="宋体" w:hAnsi="宋体" w:cs="宋体"/>
          <w:color w:val="auto"/>
          <w:kern w:val="0"/>
          <w:sz w:val="24"/>
          <w:szCs w:val="24"/>
          <w:highlight w:val="none"/>
          <w:lang w:val="en-US" w:eastAsia="zh-CN" w:bidi="ar"/>
        </w:rPr>
        <w:t>相关规定</w:t>
      </w:r>
      <w:r>
        <w:rPr>
          <w:rFonts w:hint="eastAsia" w:ascii="宋体" w:hAnsi="宋体" w:eastAsia="宋体" w:cs="宋体"/>
          <w:color w:val="auto"/>
          <w:kern w:val="0"/>
          <w:sz w:val="24"/>
          <w:szCs w:val="24"/>
          <w:highlight w:val="none"/>
          <w:lang w:val="en-US" w:eastAsia="zh-CN" w:bidi="ar"/>
        </w:rPr>
        <w:t>，建立运行、维修保养、检测、节能等管理机制，包括但不限于以下内容：</w:t>
      </w:r>
    </w:p>
    <w:p>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outlineLvl w:val="0"/>
        <w:rPr>
          <w:rFonts w:hint="eastAsia" w:ascii="宋体" w:hAnsi="宋体" w:eastAsia="宋体" w:cs="宋体"/>
          <w:color w:val="auto"/>
          <w:sz w:val="24"/>
          <w:szCs w:val="24"/>
          <w:highlight w:val="none"/>
          <w:lang w:val="en-US" w:eastAsia="zh-CN" w:bidi="ar-SA"/>
        </w:rPr>
      </w:pPr>
      <w:bookmarkStart w:id="158" w:name="_Toc12265"/>
      <w:bookmarkStart w:id="159" w:name="_Toc5571"/>
      <w:bookmarkStart w:id="160" w:name="_Toc20486"/>
      <w:bookmarkStart w:id="161" w:name="_Toc20758"/>
      <w:r>
        <w:rPr>
          <w:rFonts w:hint="eastAsia" w:ascii="宋体" w:hAnsi="宋体" w:eastAsia="宋体" w:cs="宋体"/>
          <w:color w:val="auto"/>
          <w:sz w:val="24"/>
          <w:szCs w:val="24"/>
          <w:highlight w:val="none"/>
          <w:lang w:val="en-US" w:eastAsia="zh-CN" w:bidi="ar-SA"/>
        </w:rPr>
        <w:t>1  中央空调系统运行应按制度每日定时巡查，将运行参数做好记录并存档；</w:t>
      </w:r>
      <w:bookmarkEnd w:id="158"/>
      <w:bookmarkEnd w:id="159"/>
      <w:bookmarkEnd w:id="160"/>
      <w:bookmarkEnd w:id="161"/>
    </w:p>
    <w:p>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rPr>
          <w:rFonts w:hint="eastAsia" w:ascii="宋体" w:hAnsi="宋体" w:eastAsia="宋体" w:cs="宋体"/>
          <w:color w:val="auto"/>
          <w:sz w:val="24"/>
          <w:szCs w:val="24"/>
          <w:highlight w:val="none"/>
          <w:lang w:val="en-US" w:eastAsia="zh-CN" w:bidi="ar-SA"/>
        </w:rPr>
      </w:pPr>
      <w:bookmarkStart w:id="162" w:name="_Toc18466"/>
      <w:bookmarkStart w:id="163" w:name="_Toc847"/>
      <w:bookmarkStart w:id="164" w:name="_Toc25515"/>
      <w:bookmarkStart w:id="165" w:name="_Toc13564"/>
      <w:r>
        <w:rPr>
          <w:rFonts w:hint="eastAsia" w:ascii="宋体" w:hAnsi="宋体" w:eastAsia="宋体" w:cs="宋体"/>
          <w:color w:val="auto"/>
          <w:sz w:val="24"/>
          <w:szCs w:val="24"/>
          <w:highlight w:val="none"/>
          <w:lang w:val="en-US" w:eastAsia="zh-CN" w:bidi="ar-SA"/>
        </w:rPr>
        <w:t>2  在每个供冷期或供暖期交替运行之前，或系统停机一段时间后又重新投入运行时，应对系统所有设施设备（如冷却水循环管道、冷冻水循环管道风管、新风系统等的管件、阀门、电气控制、隔热保温等）进行严格细致的检查、清洗、测试和调整，确定正常后方能投入运行；</w:t>
      </w:r>
      <w:bookmarkEnd w:id="162"/>
      <w:bookmarkEnd w:id="163"/>
      <w:bookmarkEnd w:id="164"/>
      <w:bookmarkEnd w:id="165"/>
    </w:p>
    <w:p>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rPr>
          <w:rFonts w:hint="eastAsia" w:ascii="宋体" w:hAnsi="宋体" w:eastAsia="宋体" w:cs="宋体"/>
          <w:color w:val="auto"/>
          <w:sz w:val="24"/>
          <w:szCs w:val="24"/>
          <w:highlight w:val="none"/>
          <w:lang w:val="en-US" w:eastAsia="zh-CN" w:bidi="ar-SA"/>
        </w:rPr>
      </w:pPr>
      <w:bookmarkStart w:id="166" w:name="_Toc17393"/>
      <w:bookmarkStart w:id="167" w:name="_Toc13018"/>
      <w:bookmarkStart w:id="168" w:name="_Toc31019"/>
      <w:bookmarkStart w:id="169" w:name="_Toc21814"/>
      <w:r>
        <w:rPr>
          <w:rFonts w:hint="eastAsia" w:ascii="宋体" w:hAnsi="宋体" w:eastAsia="宋体" w:cs="宋体"/>
          <w:color w:val="auto"/>
          <w:sz w:val="24"/>
          <w:szCs w:val="24"/>
          <w:highlight w:val="none"/>
          <w:lang w:val="en-US" w:eastAsia="zh-CN" w:bidi="ar-SA"/>
        </w:rPr>
        <w:t>3  定期检查冷却塔电机、变速箱、布水器及其它附属设备，每年至少清洗、维护保养≥1次；供冷期每月≥1次对冷却塔进行清洗和维护保养；</w:t>
      </w:r>
      <w:bookmarkEnd w:id="166"/>
      <w:bookmarkEnd w:id="167"/>
      <w:bookmarkEnd w:id="168"/>
      <w:bookmarkEnd w:id="169"/>
    </w:p>
    <w:p>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rPr>
          <w:rFonts w:hint="eastAsia" w:ascii="宋体" w:hAnsi="宋体" w:eastAsia="宋体" w:cs="宋体"/>
          <w:color w:val="auto"/>
          <w:sz w:val="24"/>
          <w:szCs w:val="24"/>
          <w:highlight w:val="none"/>
          <w:lang w:val="en-US" w:eastAsia="zh-CN" w:bidi="ar-SA"/>
        </w:rPr>
      </w:pPr>
      <w:bookmarkStart w:id="170" w:name="_Toc31963"/>
      <w:bookmarkStart w:id="171" w:name="_Toc17266"/>
      <w:bookmarkStart w:id="172" w:name="_Toc13966"/>
      <w:bookmarkStart w:id="173" w:name="_Toc2037"/>
      <w:r>
        <w:rPr>
          <w:rFonts w:hint="eastAsia" w:ascii="宋体" w:hAnsi="宋体" w:eastAsia="宋体" w:cs="宋体"/>
          <w:color w:val="auto"/>
          <w:sz w:val="24"/>
          <w:szCs w:val="24"/>
          <w:highlight w:val="none"/>
          <w:lang w:val="en-US" w:eastAsia="zh-CN" w:bidi="ar-SA"/>
        </w:rPr>
        <w:t>4  应符合现行国家标准《空调通风系统运行管理标准》</w:t>
      </w:r>
      <w:r>
        <w:rPr>
          <w:rFonts w:hint="eastAsia" w:ascii="宋体" w:hAnsi="宋体" w:eastAsia="宋体" w:cs="宋体"/>
          <w:color w:val="auto"/>
          <w:kern w:val="0"/>
          <w:sz w:val="24"/>
          <w:szCs w:val="24"/>
          <w:highlight w:val="none"/>
          <w:lang w:val="en-US" w:eastAsia="zh-CN" w:bidi="ar"/>
        </w:rPr>
        <w:t>GB 50365相关规定</w:t>
      </w:r>
      <w:r>
        <w:rPr>
          <w:rFonts w:hint="eastAsia" w:ascii="宋体" w:hAnsi="宋体" w:eastAsia="宋体" w:cs="宋体"/>
          <w:color w:val="auto"/>
          <w:sz w:val="24"/>
          <w:szCs w:val="24"/>
          <w:highlight w:val="none"/>
          <w:lang w:val="en-US" w:eastAsia="zh-CN" w:bidi="ar-SA"/>
        </w:rPr>
        <w:t>定期对中央空调系统设备进行养护；集中空调通风系统应符合现行行业标准《公共场所集中空调通风系统清洗消毒规范》WS/T 396的相关规定进行养护；</w:t>
      </w:r>
      <w:bookmarkEnd w:id="170"/>
      <w:bookmarkEnd w:id="171"/>
      <w:bookmarkEnd w:id="172"/>
      <w:bookmarkEnd w:id="173"/>
    </w:p>
    <w:p>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rPr>
          <w:rFonts w:hint="eastAsia" w:ascii="宋体" w:hAnsi="宋体" w:eastAsia="宋体" w:cs="宋体"/>
          <w:color w:val="auto"/>
          <w:sz w:val="24"/>
          <w:szCs w:val="24"/>
          <w:highlight w:val="none"/>
          <w:lang w:val="en-US" w:eastAsia="zh-CN" w:bidi="ar-SA"/>
        </w:rPr>
      </w:pPr>
      <w:bookmarkStart w:id="174" w:name="_Toc30979"/>
      <w:bookmarkStart w:id="175" w:name="_Toc17525"/>
      <w:bookmarkStart w:id="176" w:name="_Toc22522"/>
      <w:bookmarkStart w:id="177" w:name="_Toc13641"/>
      <w:r>
        <w:rPr>
          <w:rFonts w:hint="eastAsia" w:ascii="宋体" w:hAnsi="宋体" w:eastAsia="宋体" w:cs="宋体"/>
          <w:color w:val="auto"/>
          <w:sz w:val="24"/>
          <w:szCs w:val="24"/>
          <w:highlight w:val="none"/>
          <w:lang w:val="en-US" w:eastAsia="zh-CN" w:bidi="ar-SA"/>
        </w:rPr>
        <w:t>5 中央空调每半年≥1次清洁空调新风机、出风口及盘管滤网，对空调循环水水质每年应进行≥2次细菌（如军团菌）检测；</w:t>
      </w:r>
      <w:bookmarkEnd w:id="174"/>
      <w:bookmarkEnd w:id="175"/>
      <w:bookmarkEnd w:id="176"/>
      <w:r>
        <w:rPr>
          <w:rFonts w:hint="eastAsia" w:ascii="宋体" w:hAnsi="宋体" w:eastAsia="宋体" w:cs="宋体"/>
          <w:color w:val="auto"/>
          <w:sz w:val="24"/>
          <w:szCs w:val="24"/>
          <w:highlight w:val="none"/>
          <w:lang w:val="en-US" w:eastAsia="zh-CN" w:bidi="ar-SA"/>
        </w:rPr>
        <w:t>冷却水质要求：6.5≤ pH值 ≤8.0，总硬度小于300mg/L；</w:t>
      </w:r>
      <w:bookmarkEnd w:id="177"/>
    </w:p>
    <w:p>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rPr>
          <w:rFonts w:hint="eastAsia" w:ascii="宋体" w:hAnsi="宋体" w:eastAsia="宋体" w:cs="宋体"/>
          <w:color w:val="auto"/>
          <w:sz w:val="24"/>
          <w:szCs w:val="24"/>
          <w:highlight w:val="none"/>
          <w:lang w:val="en-US" w:eastAsia="zh-CN" w:bidi="ar-SA"/>
        </w:rPr>
      </w:pPr>
      <w:bookmarkStart w:id="178" w:name="_Toc510"/>
      <w:bookmarkStart w:id="179" w:name="_Toc19849"/>
      <w:bookmarkStart w:id="180" w:name="_Toc23382"/>
      <w:bookmarkStart w:id="181" w:name="_Toc1414"/>
      <w:r>
        <w:rPr>
          <w:rFonts w:hint="eastAsia" w:ascii="宋体" w:hAnsi="宋体" w:eastAsia="宋体" w:cs="宋体"/>
          <w:color w:val="auto"/>
          <w:sz w:val="24"/>
          <w:szCs w:val="24"/>
          <w:highlight w:val="none"/>
          <w:lang w:val="en-US" w:eastAsia="zh-CN" w:bidi="ar-SA"/>
        </w:rPr>
        <w:t>6  每天应对大堂、会议室、过道等区域，测试出风口温度、湿度，确保温度和湿度符合规范要求。</w:t>
      </w:r>
      <w:bookmarkEnd w:id="178"/>
      <w:bookmarkEnd w:id="179"/>
      <w:bookmarkEnd w:id="180"/>
      <w:bookmarkEnd w:id="181"/>
    </w:p>
    <w:p>
      <w:pPr>
        <w:pStyle w:val="20"/>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i w:val="0"/>
          <w:color w:val="auto"/>
          <w:sz w:val="24"/>
          <w:szCs w:val="24"/>
          <w:highlight w:val="none"/>
          <w:lang w:val="en-US" w:eastAsia="zh-CN" w:bidi="ar-SA"/>
        </w:rPr>
      </w:pPr>
      <w:r>
        <w:rPr>
          <w:rFonts w:hint="eastAsia" w:ascii="Times New Roman" w:hAnsi="Times New Roman" w:eastAsia="宋体" w:cs="Times New Roman"/>
          <w:b/>
          <w:bCs/>
          <w:i w:val="0"/>
          <w:color w:val="auto"/>
          <w:kern w:val="2"/>
          <w:sz w:val="24"/>
          <w:szCs w:val="24"/>
          <w:highlight w:val="none"/>
          <w:lang w:val="en-US" w:eastAsia="zh-CN" w:bidi="ar-SA"/>
        </w:rPr>
        <w:t>9.2.2</w:t>
      </w:r>
      <w:r>
        <w:rPr>
          <w:rFonts w:hint="eastAsia" w:ascii="宋体" w:hAnsi="宋体" w:eastAsia="宋体" w:cs="宋体"/>
          <w:b w:val="0"/>
          <w:i w:val="0"/>
          <w:color w:val="auto"/>
          <w:sz w:val="24"/>
          <w:szCs w:val="24"/>
          <w:highlight w:val="none"/>
          <w:lang w:val="en-US" w:eastAsia="zh-CN" w:bidi="ar-SA"/>
        </w:rPr>
        <w:t>　</w:t>
      </w:r>
      <w:bookmarkStart w:id="182" w:name="_Toc13299"/>
      <w:bookmarkStart w:id="183" w:name="_Toc25008"/>
      <w:bookmarkStart w:id="184" w:name="_Toc1722"/>
      <w:r>
        <w:rPr>
          <w:rFonts w:hint="eastAsia" w:ascii="宋体" w:hAnsi="宋体" w:eastAsia="宋体" w:cs="宋体"/>
          <w:color w:val="auto"/>
          <w:sz w:val="24"/>
          <w:szCs w:val="24"/>
          <w:highlight w:val="none"/>
          <w:lang w:val="en-US" w:eastAsia="zh-CN" w:bidi="ar-SA"/>
        </w:rPr>
        <w:t>分体空调按要求进行清洗和消毒，运行期间每季度</w:t>
      </w:r>
      <w:r>
        <w:rPr>
          <w:rFonts w:hint="eastAsia" w:ascii="宋体" w:hAnsi="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1次清洗除尘；</w:t>
      </w:r>
      <w:bookmarkEnd w:id="182"/>
      <w:bookmarkEnd w:id="183"/>
      <w:bookmarkEnd w:id="184"/>
    </w:p>
    <w:p>
      <w:pPr>
        <w:pStyle w:val="20"/>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9.2.3</w:t>
      </w:r>
      <w:r>
        <w:rPr>
          <w:rFonts w:hint="eastAsia" w:ascii="宋体" w:hAnsi="宋体" w:eastAsia="宋体" w:cs="宋体"/>
          <w:b w:val="0"/>
          <w:i w:val="0"/>
          <w:color w:val="auto"/>
          <w:sz w:val="24"/>
          <w:szCs w:val="24"/>
          <w:highlight w:val="none"/>
          <w:lang w:val="en-US" w:eastAsia="zh-CN" w:bidi="ar-SA"/>
        </w:rPr>
        <w:t>　</w:t>
      </w:r>
      <w:r>
        <w:rPr>
          <w:rFonts w:hint="eastAsia" w:ascii="宋体" w:hAnsi="宋体" w:eastAsia="宋体" w:cs="宋体"/>
          <w:color w:val="auto"/>
          <w:kern w:val="2"/>
          <w:sz w:val="24"/>
          <w:szCs w:val="24"/>
          <w:highlight w:val="none"/>
          <w:lang w:val="en-US" w:eastAsia="zh-CN" w:bidi="ar-SA"/>
        </w:rPr>
        <w:t>锅炉（特种设备）运行维护</w:t>
      </w:r>
      <w:r>
        <w:rPr>
          <w:rFonts w:hint="eastAsia" w:ascii="宋体" w:hAnsi="宋体" w:eastAsia="宋体" w:cs="宋体"/>
          <w:color w:val="auto"/>
          <w:sz w:val="24"/>
          <w:szCs w:val="24"/>
          <w:highlight w:val="none"/>
          <w:lang w:val="en-US" w:eastAsia="zh-CN" w:bidi="ar-SA"/>
        </w:rPr>
        <w:t>应符合现行行业标准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锅炉安全技术监察规程</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TSG G0001的</w:t>
      </w:r>
      <w:r>
        <w:rPr>
          <w:rFonts w:hint="eastAsia" w:ascii="宋体" w:hAnsi="宋体" w:cs="宋体"/>
          <w:color w:val="auto"/>
          <w:kern w:val="2"/>
          <w:sz w:val="24"/>
          <w:szCs w:val="24"/>
          <w:highlight w:val="none"/>
          <w:lang w:val="en-US" w:eastAsia="zh-CN" w:bidi="ar-SA"/>
        </w:rPr>
        <w:t>相关规定</w:t>
      </w:r>
      <w:r>
        <w:rPr>
          <w:rFonts w:hint="eastAsia" w:ascii="宋体" w:hAnsi="宋体" w:eastAsia="宋体" w:cs="宋体"/>
          <w:color w:val="auto"/>
          <w:kern w:val="2"/>
          <w:sz w:val="24"/>
          <w:szCs w:val="24"/>
          <w:highlight w:val="none"/>
          <w:lang w:val="en-US" w:eastAsia="zh-CN" w:bidi="ar-SA"/>
        </w:rPr>
        <w:t>执行。</w:t>
      </w:r>
    </w:p>
    <w:p>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0" w:firstLineChars="0"/>
        <w:textAlignment w:val="auto"/>
        <w:outlineLvl w:val="1"/>
        <w:rPr>
          <w:rFonts w:hint="eastAsia" w:ascii="宋体" w:hAnsi="宋体" w:eastAsia="宋体" w:cs="宋体"/>
          <w:b w:val="0"/>
          <w:bCs w:val="0"/>
          <w:color w:val="auto"/>
          <w:kern w:val="0"/>
          <w:sz w:val="24"/>
          <w:szCs w:val="24"/>
          <w:highlight w:val="none"/>
          <w:lang w:val="en-US" w:eastAsia="zh-CN" w:bidi="ar"/>
        </w:rPr>
      </w:pPr>
      <w:bookmarkStart w:id="185" w:name="_Toc20646"/>
      <w:r>
        <w:rPr>
          <w:rFonts w:hint="eastAsia" w:ascii="Times New Roman" w:hAnsi="Times New Roman" w:eastAsia="宋体" w:cs="Times New Roman"/>
          <w:b/>
          <w:bCs/>
          <w:i w:val="0"/>
          <w:color w:val="auto"/>
          <w:kern w:val="2"/>
          <w:sz w:val="24"/>
          <w:szCs w:val="24"/>
          <w:highlight w:val="none"/>
          <w:lang w:val="en-US" w:eastAsia="zh-CN" w:bidi="ar-SA"/>
        </w:rPr>
        <w:t>9.2.4</w:t>
      </w:r>
      <w:r>
        <w:rPr>
          <w:rFonts w:hint="eastAsia" w:ascii="宋体" w:hAnsi="宋体" w:eastAsia="宋体" w:cs="宋体"/>
          <w:b w:val="0"/>
          <w:i w:val="0"/>
          <w:color w:val="auto"/>
          <w:sz w:val="24"/>
          <w:szCs w:val="24"/>
          <w:highlight w:val="none"/>
          <w:lang w:val="en-US" w:eastAsia="zh-CN" w:bidi="ar-SA"/>
        </w:rPr>
        <w:t>　</w:t>
      </w:r>
      <w:r>
        <w:rPr>
          <w:rFonts w:hint="eastAsia" w:ascii="宋体" w:hAnsi="宋体" w:eastAsia="宋体" w:cs="宋体"/>
          <w:b w:val="0"/>
          <w:bCs w:val="0"/>
          <w:color w:val="auto"/>
          <w:kern w:val="0"/>
          <w:sz w:val="24"/>
          <w:szCs w:val="24"/>
          <w:highlight w:val="none"/>
          <w:lang w:val="en-US" w:eastAsia="zh-CN" w:bidi="ar"/>
        </w:rPr>
        <w:t>中央空调系统维护保养具体内容见附录A。</w:t>
      </w:r>
      <w:bookmarkEnd w:id="185"/>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ascii="宋体" w:hAnsi="宋体" w:eastAsia="宋体" w:cs="宋体"/>
          <w:b/>
          <w:bCs/>
          <w:color w:val="auto"/>
          <w:sz w:val="24"/>
          <w:szCs w:val="24"/>
          <w:highlight w:val="none"/>
          <w:lang w:val="en-US" w:eastAsia="zh-CN"/>
        </w:rPr>
      </w:pPr>
      <w:bookmarkStart w:id="186" w:name="_Toc28292"/>
      <w:bookmarkStart w:id="187" w:name="_Toc4034"/>
      <w:r>
        <w:rPr>
          <w:rFonts w:hint="eastAsia" w:ascii="宋体" w:hAnsi="宋体" w:eastAsia="宋体" w:cs="宋体"/>
          <w:b/>
          <w:bCs/>
          <w:color w:val="auto"/>
          <w:sz w:val="24"/>
          <w:szCs w:val="24"/>
          <w:highlight w:val="none"/>
          <w:lang w:val="en-US" w:eastAsia="zh-CN"/>
        </w:rPr>
        <w:t>9.3  给排水系统</w:t>
      </w:r>
      <w:bookmarkEnd w:id="186"/>
      <w:bookmarkEnd w:id="18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9.3.1 </w:t>
      </w:r>
      <w:r>
        <w:rPr>
          <w:rFonts w:hint="eastAsia" w:ascii="宋体" w:hAnsi="宋体" w:eastAsia="宋体" w:cs="宋体"/>
          <w:b w:val="0"/>
          <w:i w:val="0"/>
          <w:color w:val="auto"/>
          <w:kern w:val="2"/>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应制定给水、排水系统维护保养、巡查、管理制度和应急响应预案。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outlineLvl w:val="1"/>
        <w:rPr>
          <w:rFonts w:hint="eastAsia" w:ascii="宋体" w:hAnsi="宋体" w:eastAsia="宋体" w:cs="宋体"/>
          <w:color w:val="auto"/>
          <w:sz w:val="24"/>
          <w:szCs w:val="24"/>
          <w:highlight w:val="none"/>
          <w:lang w:val="en-US" w:eastAsia="zh-CN"/>
        </w:rPr>
      </w:pPr>
      <w:bookmarkStart w:id="188" w:name="_Toc13562"/>
      <w:r>
        <w:rPr>
          <w:rFonts w:hint="eastAsia" w:ascii="Times New Roman" w:hAnsi="Times New Roman" w:eastAsia="宋体" w:cs="Times New Roman"/>
          <w:b/>
          <w:bCs/>
          <w:i w:val="0"/>
          <w:color w:val="auto"/>
          <w:kern w:val="2"/>
          <w:sz w:val="24"/>
          <w:szCs w:val="24"/>
          <w:highlight w:val="none"/>
          <w:lang w:val="en-US" w:eastAsia="zh-CN" w:bidi="ar-SA"/>
        </w:rPr>
        <w:t xml:space="preserve">9.3.2 </w:t>
      </w:r>
      <w:r>
        <w:rPr>
          <w:rFonts w:hint="eastAsia" w:ascii="宋体" w:hAnsi="宋体" w:eastAsia="宋体" w:cs="宋体"/>
          <w:color w:val="auto"/>
          <w:sz w:val="24"/>
          <w:szCs w:val="24"/>
          <w:highlight w:val="none"/>
          <w:lang w:val="en-US" w:eastAsia="zh-CN"/>
        </w:rPr>
        <w:t xml:space="preserve"> 给水系统应包括但不限于以下主要内容：</w:t>
      </w:r>
      <w:bookmarkEnd w:id="188"/>
      <w:r>
        <w:rPr>
          <w:rFonts w:hint="eastAsia" w:ascii="宋体" w:hAnsi="宋体" w:eastAsia="宋体" w:cs="宋体"/>
          <w:b w:val="0"/>
          <w:i w:val="0"/>
          <w:color w:val="auto"/>
          <w:kern w:val="2"/>
          <w:sz w:val="24"/>
          <w:szCs w:val="24"/>
          <w:highlight w:val="none"/>
          <w:lang w:val="en-US" w:eastAsia="zh-CN" w:bidi="ar-SA"/>
        </w:rPr>
        <w:t xml:space="preserve"> </w:t>
      </w:r>
    </w:p>
    <w:p>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outlineLvl w:val="0"/>
        <w:rPr>
          <w:rFonts w:hint="eastAsia" w:ascii="宋体" w:hAnsi="宋体" w:eastAsia="宋体" w:cs="宋体"/>
          <w:color w:val="auto"/>
          <w:sz w:val="24"/>
          <w:szCs w:val="24"/>
          <w:highlight w:val="none"/>
          <w:lang w:val="en-US" w:eastAsia="zh-CN" w:bidi="ar-SA"/>
        </w:rPr>
      </w:pPr>
      <w:bookmarkStart w:id="189" w:name="_Toc7839"/>
      <w:bookmarkStart w:id="190" w:name="_Toc5896"/>
      <w:bookmarkStart w:id="191" w:name="_Toc21216"/>
      <w:bookmarkStart w:id="192" w:name="_Toc13572"/>
      <w:r>
        <w:rPr>
          <w:rFonts w:hint="eastAsia" w:ascii="宋体" w:hAnsi="宋体" w:eastAsia="宋体" w:cs="宋体"/>
          <w:color w:val="auto"/>
          <w:sz w:val="24"/>
          <w:szCs w:val="24"/>
          <w:highlight w:val="none"/>
          <w:lang w:val="en-US" w:eastAsia="zh-CN" w:bidi="ar-SA"/>
        </w:rPr>
        <w:t>1  应对生活水泵和消毒装置以及设备控制柜等按</w:t>
      </w:r>
      <w:r>
        <w:rPr>
          <w:rFonts w:hint="eastAsia" w:ascii="宋体" w:hAnsi="宋体" w:eastAsia="宋体" w:cs="宋体"/>
          <w:color w:val="auto"/>
          <w:sz w:val="24"/>
          <w:szCs w:val="24"/>
          <w:highlight w:val="none"/>
          <w:lang w:val="en-US" w:eastAsia="zh-CN"/>
        </w:rPr>
        <w:t>附录B</w:t>
      </w:r>
      <w:r>
        <w:rPr>
          <w:rFonts w:hint="eastAsia" w:ascii="宋体" w:hAnsi="宋体" w:eastAsia="宋体" w:cs="宋体"/>
          <w:color w:val="auto"/>
          <w:sz w:val="24"/>
          <w:szCs w:val="24"/>
          <w:highlight w:val="none"/>
          <w:lang w:val="en-US" w:eastAsia="zh-CN" w:bidi="ar-SA"/>
        </w:rPr>
        <w:t>进行定期保养；</w:t>
      </w:r>
      <w:bookmarkEnd w:id="189"/>
      <w:bookmarkEnd w:id="190"/>
      <w:bookmarkEnd w:id="191"/>
      <w:bookmarkEnd w:id="192"/>
    </w:p>
    <w:p>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rPr>
          <w:rFonts w:hint="eastAsia" w:ascii="宋体" w:hAnsi="宋体" w:eastAsia="宋体" w:cs="宋体"/>
          <w:color w:val="auto"/>
          <w:sz w:val="24"/>
          <w:szCs w:val="24"/>
          <w:highlight w:val="none"/>
          <w:lang w:val="en-US" w:eastAsia="zh-CN" w:bidi="ar-SA"/>
        </w:rPr>
      </w:pPr>
      <w:bookmarkStart w:id="193" w:name="_Toc24834"/>
      <w:bookmarkStart w:id="194" w:name="_Toc32723"/>
      <w:bookmarkStart w:id="195" w:name="_Toc21929"/>
      <w:bookmarkStart w:id="196" w:name="_Toc4854"/>
      <w:bookmarkStart w:id="197" w:name="_Toc2215"/>
      <w:bookmarkStart w:id="198" w:name="_Toc10006"/>
      <w:bookmarkStart w:id="199" w:name="_Toc10989"/>
      <w:r>
        <w:rPr>
          <w:rFonts w:hint="eastAsia" w:ascii="宋体" w:hAnsi="宋体" w:eastAsia="宋体" w:cs="宋体"/>
          <w:color w:val="auto"/>
          <w:sz w:val="24"/>
          <w:szCs w:val="24"/>
          <w:highlight w:val="none"/>
          <w:lang w:val="en-US" w:eastAsia="zh-CN" w:bidi="ar-SA"/>
        </w:rPr>
        <w:t>2  定期清洗和消毒二次供水设施设备，生活水池水箱每半年</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bidi="ar-SA"/>
        </w:rPr>
        <w:t>1次清洗消毒并送水质检测，生活饮用水水质应符合现行国家标准《生活饮用水卫生标准》GB 5749的相关规定；</w:t>
      </w:r>
      <w:bookmarkEnd w:id="193"/>
      <w:bookmarkEnd w:id="194"/>
      <w:bookmarkEnd w:id="195"/>
      <w:bookmarkEnd w:id="196"/>
    </w:p>
    <w:p>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outlineLvl w:val="0"/>
        <w:rPr>
          <w:rFonts w:hint="eastAsia" w:ascii="宋体" w:hAnsi="宋体" w:eastAsia="宋体" w:cs="宋体"/>
          <w:color w:val="auto"/>
          <w:sz w:val="24"/>
          <w:szCs w:val="24"/>
          <w:highlight w:val="none"/>
          <w:lang w:val="en-US" w:eastAsia="zh-CN" w:bidi="ar-SA"/>
        </w:rPr>
      </w:pPr>
      <w:bookmarkStart w:id="200" w:name="_Toc10892"/>
      <w:r>
        <w:rPr>
          <w:rFonts w:hint="eastAsia" w:ascii="宋体" w:hAnsi="宋体" w:eastAsia="宋体" w:cs="宋体"/>
          <w:color w:val="auto"/>
          <w:sz w:val="24"/>
          <w:szCs w:val="24"/>
          <w:highlight w:val="none"/>
          <w:lang w:val="en-US" w:eastAsia="zh-CN" w:bidi="ar-SA"/>
        </w:rPr>
        <w:t>3  设备机房内设备设施完好，定期对备用水泵进行轮换运行，供水水压正常稳定；</w:t>
      </w:r>
      <w:bookmarkEnd w:id="200"/>
    </w:p>
    <w:p>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rPr>
          <w:rFonts w:hint="eastAsia" w:ascii="宋体" w:hAnsi="宋体" w:eastAsia="宋体" w:cs="宋体"/>
          <w:color w:val="auto"/>
          <w:sz w:val="24"/>
          <w:szCs w:val="24"/>
          <w:highlight w:val="none"/>
          <w:lang w:val="en-US" w:eastAsia="zh-CN" w:bidi="ar-SA"/>
        </w:rPr>
      </w:pPr>
      <w:bookmarkStart w:id="201" w:name="_Toc6037"/>
      <w:r>
        <w:rPr>
          <w:rFonts w:hint="eastAsia" w:ascii="宋体" w:hAnsi="宋体" w:eastAsia="宋体" w:cs="宋体"/>
          <w:color w:val="auto"/>
          <w:sz w:val="24"/>
          <w:szCs w:val="24"/>
          <w:highlight w:val="none"/>
          <w:lang w:val="en-US" w:eastAsia="zh-CN" w:bidi="ar-SA"/>
        </w:rPr>
        <w:t>4  保持水箱、蓄水池盖板、防蚊网完好并加锁，钥匙由专人保管，溢流管口、透气口应安装金属防护网并保持完好，水池周边无杂物堆放，附近无污染源并整洁卫生；</w:t>
      </w:r>
      <w:bookmarkEnd w:id="201"/>
    </w:p>
    <w:bookmarkEnd w:id="197"/>
    <w:bookmarkEnd w:id="198"/>
    <w:bookmarkEnd w:id="199"/>
    <w:p>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outlineLvl w:val="0"/>
        <w:rPr>
          <w:rFonts w:hint="eastAsia" w:ascii="宋体" w:hAnsi="宋体" w:eastAsia="宋体" w:cs="宋体"/>
          <w:color w:val="auto"/>
          <w:sz w:val="24"/>
          <w:szCs w:val="24"/>
          <w:highlight w:val="none"/>
          <w:lang w:val="en-US" w:eastAsia="zh-CN" w:bidi="ar-SA"/>
        </w:rPr>
      </w:pPr>
      <w:bookmarkStart w:id="202" w:name="_Toc24367"/>
      <w:r>
        <w:rPr>
          <w:rFonts w:hint="eastAsia" w:ascii="宋体" w:hAnsi="宋体" w:eastAsia="宋体" w:cs="宋体"/>
          <w:color w:val="auto"/>
          <w:sz w:val="24"/>
          <w:szCs w:val="24"/>
          <w:highlight w:val="none"/>
          <w:lang w:val="en-US" w:eastAsia="zh-CN" w:bidi="ar-SA"/>
        </w:rPr>
        <w:t>5  对供水泵运行进行定时巡查并做好记录，巡查要求见表9.3.2。</w:t>
      </w:r>
      <w:bookmarkEnd w:id="202"/>
    </w:p>
    <w:p>
      <w:pPr>
        <w:pStyle w:val="6"/>
        <w:tabs>
          <w:tab w:val="left" w:pos="420"/>
        </w:tabs>
        <w:spacing w:before="312" w:beforeLines="100" w:after="0" w:line="240" w:lineRule="auto"/>
        <w:jc w:val="center"/>
        <w:outlineLvl w:val="1"/>
        <w:rPr>
          <w:rFonts w:hint="eastAsia" w:ascii="Times New Roman" w:hAnsi="Times New Roman" w:eastAsia="黑体" w:cs="Times New Roman"/>
          <w:bCs w:val="0"/>
          <w:sz w:val="21"/>
          <w:szCs w:val="24"/>
          <w:highlight w:val="none"/>
          <w:lang w:val="en-US" w:eastAsia="zh-CN"/>
        </w:rPr>
      </w:pPr>
      <w:bookmarkStart w:id="203" w:name="_Toc6867"/>
      <w:r>
        <w:rPr>
          <w:rFonts w:hint="eastAsia" w:ascii="Times New Roman" w:hAnsi="Times New Roman" w:eastAsia="黑体" w:cs="Times New Roman"/>
          <w:bCs w:val="0"/>
          <w:sz w:val="21"/>
          <w:szCs w:val="24"/>
          <w:highlight w:val="none"/>
          <w:lang w:val="en-US" w:eastAsia="zh-CN"/>
        </w:rPr>
        <w:t>表9.3.2  项目主要分类服务标准—给水设备设施维护</w:t>
      </w:r>
      <w:bookmarkEnd w:id="203"/>
    </w:p>
    <w:tbl>
      <w:tblPr>
        <w:tblStyle w:val="38"/>
        <w:tblW w:w="86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0"/>
        <w:gridCol w:w="552"/>
        <w:gridCol w:w="1320"/>
        <w:gridCol w:w="686"/>
        <w:gridCol w:w="1252"/>
        <w:gridCol w:w="726"/>
        <w:gridCol w:w="1172"/>
        <w:gridCol w:w="605"/>
        <w:gridCol w:w="14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890" w:type="dxa"/>
            <w:vMerge w:val="restart"/>
            <w:tcBorders>
              <w:top w:val="single" w:color="000000" w:sz="12" w:space="0"/>
              <w:left w:val="single" w:color="000000" w:sz="12" w:space="0"/>
              <w:bottom w:val="single" w:color="000000" w:sz="4"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服务项目</w:t>
            </w:r>
          </w:p>
        </w:tc>
        <w:tc>
          <w:tcPr>
            <w:tcW w:w="1872" w:type="dxa"/>
            <w:gridSpan w:val="2"/>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电力调度大楼</w:t>
            </w:r>
          </w:p>
        </w:tc>
        <w:tc>
          <w:tcPr>
            <w:tcW w:w="1938" w:type="dxa"/>
            <w:gridSpan w:val="2"/>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发电厂</w:t>
            </w:r>
          </w:p>
        </w:tc>
        <w:tc>
          <w:tcPr>
            <w:tcW w:w="1898" w:type="dxa"/>
            <w:gridSpan w:val="2"/>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换流站、变电站</w:t>
            </w:r>
          </w:p>
        </w:tc>
        <w:tc>
          <w:tcPr>
            <w:tcW w:w="2019" w:type="dxa"/>
            <w:gridSpan w:val="2"/>
            <w:tcBorders>
              <w:top w:val="single" w:color="000000" w:sz="12" w:space="0"/>
              <w:left w:val="single" w:color="000000" w:sz="4" w:space="0"/>
              <w:bottom w:val="single" w:color="000000" w:sz="4" w:space="0"/>
              <w:right w:val="single" w:color="000000" w:sz="12" w:space="0"/>
            </w:tcBorders>
            <w:noWrap/>
            <w:vAlign w:val="center"/>
          </w:tcPr>
          <w:p>
            <w:pPr>
              <w:keepNext w:val="0"/>
              <w:keepLines w:val="0"/>
              <w:widowControl/>
              <w:suppressLineNumbers w:val="0"/>
              <w:jc w:val="left"/>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仓储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890" w:type="dxa"/>
            <w:vMerge w:val="continue"/>
            <w:tcBorders>
              <w:top w:val="single" w:color="000000" w:sz="4" w:space="0"/>
              <w:left w:val="single" w:color="000000" w:sz="12" w:space="0"/>
              <w:bottom w:val="single" w:color="000000" w:sz="12"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p>
        </w:tc>
        <w:tc>
          <w:tcPr>
            <w:tcW w:w="552"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频次</w:t>
            </w:r>
          </w:p>
        </w:tc>
        <w:tc>
          <w:tcPr>
            <w:tcW w:w="1320"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服务标准</w:t>
            </w:r>
          </w:p>
        </w:tc>
        <w:tc>
          <w:tcPr>
            <w:tcW w:w="686"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频次</w:t>
            </w:r>
          </w:p>
        </w:tc>
        <w:tc>
          <w:tcPr>
            <w:tcW w:w="1252"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服务标准</w:t>
            </w:r>
          </w:p>
        </w:tc>
        <w:tc>
          <w:tcPr>
            <w:tcW w:w="726"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频次</w:t>
            </w:r>
          </w:p>
        </w:tc>
        <w:tc>
          <w:tcPr>
            <w:tcW w:w="1172"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服务标准</w:t>
            </w:r>
          </w:p>
        </w:tc>
        <w:tc>
          <w:tcPr>
            <w:tcW w:w="605"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频次</w:t>
            </w:r>
          </w:p>
        </w:tc>
        <w:tc>
          <w:tcPr>
            <w:tcW w:w="1414" w:type="dxa"/>
            <w:tcBorders>
              <w:top w:val="single" w:color="000000" w:sz="4" w:space="0"/>
              <w:left w:val="single" w:color="000000" w:sz="4" w:space="0"/>
              <w:bottom w:val="single" w:color="000000" w:sz="12" w:space="0"/>
              <w:right w:val="single" w:color="000000" w:sz="12"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服务标准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0" w:hRule="atLeast"/>
          <w:jc w:val="center"/>
        </w:trPr>
        <w:tc>
          <w:tcPr>
            <w:tcW w:w="890"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生活泵、喷淋泵、水幕泵、雨淋泵、消防泵</w:t>
            </w:r>
          </w:p>
        </w:tc>
        <w:tc>
          <w:tcPr>
            <w:tcW w:w="552" w:type="dxa"/>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巡查</w:t>
            </w:r>
            <w:r>
              <w:rPr>
                <w:rFonts w:hint="default" w:ascii="宋体" w:hAnsi="宋体" w:eastAsia="宋体" w:cs="宋体"/>
                <w:color w:val="auto"/>
                <w:kern w:val="0"/>
                <w:sz w:val="18"/>
                <w:szCs w:val="18"/>
                <w:highlight w:val="none"/>
                <w:lang w:val="en-US" w:eastAsia="zh-CN" w:bidi="ar"/>
              </w:rPr>
              <w:t>≥</w:t>
            </w:r>
            <w:r>
              <w:rPr>
                <w:rFonts w:hint="eastAsia" w:ascii="宋体" w:hAnsi="宋体" w:eastAsia="宋体" w:cs="宋体"/>
                <w:color w:val="auto"/>
                <w:kern w:val="0"/>
                <w:sz w:val="18"/>
                <w:szCs w:val="18"/>
                <w:highlight w:val="none"/>
                <w:lang w:val="en-US" w:eastAsia="zh-CN" w:bidi="ar"/>
              </w:rPr>
              <w:t>2次/日</w:t>
            </w:r>
          </w:p>
        </w:tc>
        <w:tc>
          <w:tcPr>
            <w:tcW w:w="1320" w:type="dxa"/>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 xml:space="preserve">水位、水压、电压、电流、声音、气味以及机房设备清洁、渗漏、液位及报警器是否正常 </w:t>
            </w:r>
          </w:p>
        </w:tc>
        <w:tc>
          <w:tcPr>
            <w:tcW w:w="686" w:type="dxa"/>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巡查</w:t>
            </w:r>
            <w:r>
              <w:rPr>
                <w:rFonts w:hint="default" w:ascii="宋体" w:hAnsi="宋体" w:eastAsia="宋体" w:cs="宋体"/>
                <w:color w:val="auto"/>
                <w:kern w:val="0"/>
                <w:sz w:val="18"/>
                <w:szCs w:val="18"/>
                <w:highlight w:val="none"/>
                <w:lang w:val="en-US" w:eastAsia="zh-CN" w:bidi="ar"/>
              </w:rPr>
              <w:t>≥</w:t>
            </w:r>
            <w:r>
              <w:rPr>
                <w:rFonts w:hint="eastAsia" w:ascii="宋体" w:hAnsi="宋体" w:eastAsia="宋体" w:cs="宋体"/>
                <w:color w:val="auto"/>
                <w:kern w:val="0"/>
                <w:sz w:val="18"/>
                <w:szCs w:val="18"/>
                <w:highlight w:val="none"/>
                <w:lang w:val="en-US" w:eastAsia="zh-CN" w:bidi="ar"/>
              </w:rPr>
              <w:t>2次/日</w:t>
            </w:r>
          </w:p>
        </w:tc>
        <w:tc>
          <w:tcPr>
            <w:tcW w:w="1252" w:type="dxa"/>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 xml:space="preserve">水位、水压、电压、电流、声音、气味以及机房设备清洁、渗漏、液位及报警器是否正常 </w:t>
            </w:r>
          </w:p>
        </w:tc>
        <w:tc>
          <w:tcPr>
            <w:tcW w:w="726" w:type="dxa"/>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巡查</w:t>
            </w:r>
            <w:r>
              <w:rPr>
                <w:rFonts w:hint="default" w:ascii="宋体" w:hAnsi="宋体" w:eastAsia="宋体" w:cs="宋体"/>
                <w:color w:val="auto"/>
                <w:kern w:val="0"/>
                <w:sz w:val="18"/>
                <w:szCs w:val="18"/>
                <w:highlight w:val="none"/>
                <w:lang w:val="en-US" w:eastAsia="zh-CN" w:bidi="ar"/>
              </w:rPr>
              <w:t>≥</w:t>
            </w:r>
            <w:r>
              <w:rPr>
                <w:rFonts w:hint="eastAsia" w:ascii="宋体" w:hAnsi="宋体" w:eastAsia="宋体" w:cs="宋体"/>
                <w:color w:val="auto"/>
                <w:kern w:val="0"/>
                <w:sz w:val="18"/>
                <w:szCs w:val="18"/>
                <w:highlight w:val="none"/>
                <w:lang w:val="en-US" w:eastAsia="zh-CN" w:bidi="ar"/>
              </w:rPr>
              <w:t>1次/日</w:t>
            </w:r>
          </w:p>
        </w:tc>
        <w:tc>
          <w:tcPr>
            <w:tcW w:w="1172" w:type="dxa"/>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 xml:space="preserve">水位、水压、电压、电流、声音、气味以及机房设备清洁、渗漏、液位及报警器是否正常 </w:t>
            </w:r>
          </w:p>
        </w:tc>
        <w:tc>
          <w:tcPr>
            <w:tcW w:w="605" w:type="dxa"/>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巡查</w:t>
            </w:r>
            <w:r>
              <w:rPr>
                <w:rFonts w:hint="default" w:ascii="宋体" w:hAnsi="宋体" w:eastAsia="宋体" w:cs="宋体"/>
                <w:color w:val="auto"/>
                <w:kern w:val="0"/>
                <w:sz w:val="18"/>
                <w:szCs w:val="18"/>
                <w:highlight w:val="none"/>
                <w:lang w:val="en-US" w:eastAsia="zh-CN" w:bidi="ar"/>
              </w:rPr>
              <w:t>≥</w:t>
            </w:r>
            <w:r>
              <w:rPr>
                <w:rFonts w:hint="eastAsia" w:ascii="宋体" w:hAnsi="宋体" w:eastAsia="宋体" w:cs="宋体"/>
                <w:color w:val="auto"/>
                <w:kern w:val="0"/>
                <w:sz w:val="18"/>
                <w:szCs w:val="18"/>
                <w:highlight w:val="none"/>
                <w:lang w:val="en-US" w:eastAsia="zh-CN" w:bidi="ar"/>
              </w:rPr>
              <w:t>1次/日</w:t>
            </w:r>
          </w:p>
        </w:tc>
        <w:tc>
          <w:tcPr>
            <w:tcW w:w="1414" w:type="dxa"/>
            <w:tcBorders>
              <w:top w:val="single" w:color="000000" w:sz="12" w:space="0"/>
              <w:left w:val="single" w:color="000000" w:sz="4" w:space="0"/>
              <w:bottom w:val="single" w:color="000000" w:sz="4" w:space="0"/>
              <w:right w:val="single" w:color="000000" w:sz="12" w:space="0"/>
            </w:tcBorders>
            <w:noWrap/>
            <w:vAlign w:val="center"/>
          </w:tcPr>
          <w:p>
            <w:pPr>
              <w:keepNext w:val="0"/>
              <w:keepLines w:val="0"/>
              <w:widowControl/>
              <w:suppressLineNumbers w:val="0"/>
              <w:jc w:val="left"/>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 xml:space="preserve">水位、水压、电压、电流、声音、气味以及机房设备清洁、渗漏、液位及报警器是否正常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5" w:hRule="atLeast"/>
          <w:jc w:val="center"/>
        </w:trPr>
        <w:tc>
          <w:tcPr>
            <w:tcW w:w="890"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配电柜</w:t>
            </w:r>
          </w:p>
        </w:tc>
        <w:tc>
          <w:tcPr>
            <w:tcW w:w="5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巡查</w:t>
            </w:r>
            <w:r>
              <w:rPr>
                <w:rFonts w:hint="default" w:ascii="宋体" w:hAnsi="宋体" w:eastAsia="宋体" w:cs="宋体"/>
                <w:color w:val="auto"/>
                <w:kern w:val="0"/>
                <w:sz w:val="18"/>
                <w:szCs w:val="18"/>
                <w:highlight w:val="none"/>
                <w:lang w:val="en-US" w:eastAsia="zh-CN" w:bidi="ar"/>
              </w:rPr>
              <w:t>≥</w:t>
            </w:r>
            <w:r>
              <w:rPr>
                <w:rFonts w:hint="eastAsia" w:ascii="宋体" w:hAnsi="宋体" w:eastAsia="宋体" w:cs="宋体"/>
                <w:color w:val="auto"/>
                <w:kern w:val="0"/>
                <w:sz w:val="18"/>
                <w:szCs w:val="18"/>
                <w:highlight w:val="none"/>
                <w:lang w:val="en-US" w:eastAsia="zh-CN" w:bidi="ar"/>
              </w:rPr>
              <w:t>2次/日</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电压、电流是否正常、三相负荷是否平衡、无异响、触头无过热</w:t>
            </w:r>
          </w:p>
        </w:tc>
        <w:tc>
          <w:tcPr>
            <w:tcW w:w="6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巡查</w:t>
            </w:r>
            <w:r>
              <w:rPr>
                <w:rFonts w:hint="default" w:ascii="宋体" w:hAnsi="宋体" w:eastAsia="宋体" w:cs="宋体"/>
                <w:color w:val="auto"/>
                <w:kern w:val="0"/>
                <w:sz w:val="18"/>
                <w:szCs w:val="18"/>
                <w:highlight w:val="none"/>
                <w:lang w:val="en-US" w:eastAsia="zh-CN" w:bidi="ar"/>
              </w:rPr>
              <w:t>≥</w:t>
            </w:r>
            <w:r>
              <w:rPr>
                <w:rFonts w:hint="eastAsia" w:ascii="宋体" w:hAnsi="宋体" w:eastAsia="宋体" w:cs="宋体"/>
                <w:color w:val="auto"/>
                <w:kern w:val="0"/>
                <w:sz w:val="18"/>
                <w:szCs w:val="18"/>
                <w:highlight w:val="none"/>
                <w:lang w:val="en-US" w:eastAsia="zh-CN" w:bidi="ar"/>
              </w:rPr>
              <w:t>2次/日</w:t>
            </w:r>
          </w:p>
        </w:tc>
        <w:tc>
          <w:tcPr>
            <w:tcW w:w="12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电压、电流是否正常、三相负荷是否平衡、无异响、触头无过热</w:t>
            </w:r>
          </w:p>
        </w:tc>
        <w:tc>
          <w:tcPr>
            <w:tcW w:w="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巡查</w:t>
            </w:r>
            <w:r>
              <w:rPr>
                <w:rFonts w:hint="default" w:ascii="宋体" w:hAnsi="宋体" w:eastAsia="宋体" w:cs="宋体"/>
                <w:color w:val="auto"/>
                <w:kern w:val="0"/>
                <w:sz w:val="18"/>
                <w:szCs w:val="18"/>
                <w:highlight w:val="none"/>
                <w:lang w:val="en-US" w:eastAsia="zh-CN" w:bidi="ar"/>
              </w:rPr>
              <w:t>≥</w:t>
            </w:r>
            <w:r>
              <w:rPr>
                <w:rFonts w:hint="eastAsia" w:ascii="宋体" w:hAnsi="宋体" w:eastAsia="宋体" w:cs="宋体"/>
                <w:color w:val="auto"/>
                <w:kern w:val="0"/>
                <w:sz w:val="18"/>
                <w:szCs w:val="18"/>
                <w:highlight w:val="none"/>
                <w:lang w:val="en-US" w:eastAsia="zh-CN" w:bidi="ar"/>
              </w:rPr>
              <w:t>1次/日</w:t>
            </w:r>
          </w:p>
        </w:tc>
        <w:tc>
          <w:tcPr>
            <w:tcW w:w="11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电压、电流是否正常、三相负荷是否平衡、无异响、触头无过热</w:t>
            </w:r>
          </w:p>
        </w:tc>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巡查</w:t>
            </w:r>
            <w:r>
              <w:rPr>
                <w:rFonts w:hint="default" w:ascii="宋体" w:hAnsi="宋体" w:eastAsia="宋体" w:cs="宋体"/>
                <w:color w:val="auto"/>
                <w:kern w:val="0"/>
                <w:sz w:val="18"/>
                <w:szCs w:val="18"/>
                <w:highlight w:val="none"/>
                <w:lang w:val="en-US" w:eastAsia="zh-CN" w:bidi="ar"/>
              </w:rPr>
              <w:t>≥</w:t>
            </w:r>
            <w:r>
              <w:rPr>
                <w:rFonts w:hint="eastAsia" w:ascii="宋体" w:hAnsi="宋体" w:eastAsia="宋体" w:cs="宋体"/>
                <w:color w:val="auto"/>
                <w:kern w:val="0"/>
                <w:sz w:val="18"/>
                <w:szCs w:val="18"/>
                <w:highlight w:val="none"/>
                <w:lang w:val="en-US" w:eastAsia="zh-CN" w:bidi="ar"/>
              </w:rPr>
              <w:t>1次/日</w:t>
            </w:r>
          </w:p>
        </w:tc>
        <w:tc>
          <w:tcPr>
            <w:tcW w:w="1414" w:type="dxa"/>
            <w:tcBorders>
              <w:top w:val="single" w:color="000000" w:sz="4" w:space="0"/>
              <w:left w:val="single" w:color="000000" w:sz="4" w:space="0"/>
              <w:bottom w:val="single" w:color="000000" w:sz="4" w:space="0"/>
              <w:right w:val="single" w:color="000000" w:sz="12" w:space="0"/>
            </w:tcBorders>
            <w:noWrap/>
            <w:vAlign w:val="center"/>
          </w:tcPr>
          <w:p>
            <w:pPr>
              <w:keepNext w:val="0"/>
              <w:keepLines w:val="0"/>
              <w:widowControl/>
              <w:suppressLineNumbers w:val="0"/>
              <w:jc w:val="left"/>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电压、电流是否正常、三相负荷是否平衡、无异响、触头无过热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8" w:hRule="atLeast"/>
          <w:jc w:val="center"/>
        </w:trPr>
        <w:tc>
          <w:tcPr>
            <w:tcW w:w="890"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水箱水池</w:t>
            </w:r>
          </w:p>
        </w:tc>
        <w:tc>
          <w:tcPr>
            <w:tcW w:w="552"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巡查</w:t>
            </w:r>
            <w:r>
              <w:rPr>
                <w:rFonts w:hint="default" w:ascii="宋体" w:hAnsi="宋体" w:eastAsia="宋体" w:cs="宋体"/>
                <w:color w:val="auto"/>
                <w:kern w:val="0"/>
                <w:sz w:val="18"/>
                <w:szCs w:val="18"/>
                <w:highlight w:val="none"/>
                <w:lang w:val="en-US" w:eastAsia="zh-CN" w:bidi="ar"/>
              </w:rPr>
              <w:t>≥</w:t>
            </w:r>
            <w:r>
              <w:rPr>
                <w:rFonts w:hint="eastAsia" w:ascii="宋体" w:hAnsi="宋体" w:eastAsia="宋体" w:cs="宋体"/>
                <w:color w:val="auto"/>
                <w:kern w:val="0"/>
                <w:sz w:val="18"/>
                <w:szCs w:val="18"/>
                <w:highlight w:val="none"/>
                <w:lang w:val="en-US" w:eastAsia="zh-CN" w:bidi="ar"/>
              </w:rPr>
              <w:t>2次/日</w:t>
            </w:r>
          </w:p>
        </w:tc>
        <w:tc>
          <w:tcPr>
            <w:tcW w:w="1320"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无漏水，箱口、通气管理防虫纱网是否完好、水箱水池盖板是否上锁，水位正常</w:t>
            </w:r>
          </w:p>
        </w:tc>
        <w:tc>
          <w:tcPr>
            <w:tcW w:w="686"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巡查</w:t>
            </w:r>
            <w:r>
              <w:rPr>
                <w:rFonts w:hint="default" w:ascii="宋体" w:hAnsi="宋体" w:eastAsia="宋体" w:cs="宋体"/>
                <w:color w:val="auto"/>
                <w:kern w:val="0"/>
                <w:sz w:val="18"/>
                <w:szCs w:val="18"/>
                <w:highlight w:val="none"/>
                <w:lang w:val="en-US" w:eastAsia="zh-CN" w:bidi="ar"/>
              </w:rPr>
              <w:t>≥</w:t>
            </w:r>
            <w:r>
              <w:rPr>
                <w:rFonts w:hint="eastAsia" w:ascii="宋体" w:hAnsi="宋体" w:eastAsia="宋体" w:cs="宋体"/>
                <w:color w:val="auto"/>
                <w:kern w:val="0"/>
                <w:sz w:val="18"/>
                <w:szCs w:val="18"/>
                <w:highlight w:val="none"/>
                <w:lang w:val="en-US" w:eastAsia="zh-CN" w:bidi="ar"/>
              </w:rPr>
              <w:t>2次/日</w:t>
            </w:r>
          </w:p>
        </w:tc>
        <w:tc>
          <w:tcPr>
            <w:tcW w:w="1252"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无漏水，箱口、通气管理防虫纱网是否完好、水箱水池盖板是否上锁，水位正常</w:t>
            </w:r>
          </w:p>
        </w:tc>
        <w:tc>
          <w:tcPr>
            <w:tcW w:w="726"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巡查</w:t>
            </w:r>
            <w:r>
              <w:rPr>
                <w:rFonts w:hint="default" w:ascii="宋体" w:hAnsi="宋体" w:eastAsia="宋体" w:cs="宋体"/>
                <w:color w:val="auto"/>
                <w:kern w:val="0"/>
                <w:sz w:val="18"/>
                <w:szCs w:val="18"/>
                <w:highlight w:val="none"/>
                <w:lang w:val="en-US" w:eastAsia="zh-CN" w:bidi="ar"/>
              </w:rPr>
              <w:t>≥</w:t>
            </w:r>
            <w:r>
              <w:rPr>
                <w:rFonts w:hint="eastAsia" w:ascii="宋体" w:hAnsi="宋体" w:eastAsia="宋体" w:cs="宋体"/>
                <w:color w:val="auto"/>
                <w:kern w:val="0"/>
                <w:sz w:val="18"/>
                <w:szCs w:val="18"/>
                <w:highlight w:val="none"/>
                <w:lang w:val="en-US" w:eastAsia="zh-CN" w:bidi="ar"/>
              </w:rPr>
              <w:t>1次/日</w:t>
            </w:r>
          </w:p>
        </w:tc>
        <w:tc>
          <w:tcPr>
            <w:tcW w:w="1172"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无漏水，箱口、通气管理防虫纱网是否完好、水箱盖板是否上锁，水位正常</w:t>
            </w:r>
          </w:p>
        </w:tc>
        <w:tc>
          <w:tcPr>
            <w:tcW w:w="605"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巡查</w:t>
            </w:r>
            <w:r>
              <w:rPr>
                <w:rFonts w:hint="default" w:ascii="宋体" w:hAnsi="宋体" w:eastAsia="宋体" w:cs="宋体"/>
                <w:color w:val="auto"/>
                <w:kern w:val="0"/>
                <w:sz w:val="18"/>
                <w:szCs w:val="18"/>
                <w:highlight w:val="none"/>
                <w:lang w:val="en-US" w:eastAsia="zh-CN" w:bidi="ar"/>
              </w:rPr>
              <w:t>≥</w:t>
            </w:r>
            <w:r>
              <w:rPr>
                <w:rFonts w:hint="eastAsia" w:ascii="宋体" w:hAnsi="宋体" w:eastAsia="宋体" w:cs="宋体"/>
                <w:color w:val="auto"/>
                <w:kern w:val="0"/>
                <w:sz w:val="18"/>
                <w:szCs w:val="18"/>
                <w:highlight w:val="none"/>
                <w:lang w:val="en-US" w:eastAsia="zh-CN" w:bidi="ar"/>
              </w:rPr>
              <w:t>1次/日</w:t>
            </w:r>
          </w:p>
        </w:tc>
        <w:tc>
          <w:tcPr>
            <w:tcW w:w="1414" w:type="dxa"/>
            <w:tcBorders>
              <w:top w:val="single" w:color="000000" w:sz="4" w:space="0"/>
              <w:left w:val="single" w:color="000000" w:sz="4" w:space="0"/>
              <w:bottom w:val="single" w:color="000000" w:sz="12" w:space="0"/>
              <w:right w:val="single" w:color="000000" w:sz="12"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无漏水，箱口、通气管理防虫纱网是否完好、水箱盖板是否上锁，水位正常</w:t>
            </w:r>
          </w:p>
        </w:tc>
      </w:tr>
    </w:tbl>
    <w:p>
      <w:pPr>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宋体" w:hAnsi="宋体" w:eastAsia="宋体" w:cs="宋体"/>
          <w:color w:val="auto"/>
          <w:sz w:val="24"/>
          <w:szCs w:val="24"/>
          <w:highlight w:val="none"/>
          <w:lang w:val="en-US" w:eastAsia="zh-CN"/>
        </w:rPr>
      </w:pPr>
      <w:bookmarkStart w:id="204" w:name="_Toc28222"/>
      <w:r>
        <w:rPr>
          <w:rFonts w:hint="eastAsia" w:ascii="Times New Roman" w:hAnsi="Times New Roman" w:eastAsia="宋体" w:cs="Times New Roman"/>
          <w:b/>
          <w:bCs/>
          <w:i w:val="0"/>
          <w:color w:val="auto"/>
          <w:kern w:val="2"/>
          <w:sz w:val="24"/>
          <w:szCs w:val="24"/>
          <w:highlight w:val="none"/>
          <w:lang w:val="en-US" w:eastAsia="zh-CN" w:bidi="ar-SA"/>
        </w:rPr>
        <w:t xml:space="preserve">9.3.3 </w:t>
      </w:r>
      <w:r>
        <w:rPr>
          <w:rFonts w:hint="eastAsia" w:ascii="宋体" w:hAnsi="宋体" w:eastAsia="宋体" w:cs="宋体"/>
          <w:color w:val="auto"/>
          <w:sz w:val="24"/>
          <w:szCs w:val="24"/>
          <w:highlight w:val="none"/>
          <w:lang w:val="en-US" w:eastAsia="zh-CN"/>
        </w:rPr>
        <w:t xml:space="preserve"> 排水系统应包括但不限于以下主要内容：</w:t>
      </w:r>
      <w:bookmarkEnd w:id="204"/>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排水排污泵应定期巡查运行情况并做好记录，</w:t>
      </w:r>
      <w:r>
        <w:rPr>
          <w:rFonts w:hint="eastAsia" w:ascii="宋体" w:hAnsi="宋体" w:eastAsia="宋体" w:cs="宋体"/>
          <w:color w:val="auto"/>
          <w:sz w:val="24"/>
          <w:szCs w:val="24"/>
          <w:highlight w:val="none"/>
          <w:lang w:val="en-US" w:eastAsia="zh-CN" w:bidi="ar-SA"/>
        </w:rPr>
        <w:t>巡查要求见表9.3.3</w:t>
      </w:r>
      <w:r>
        <w:rPr>
          <w:rFonts w:hint="eastAsia" w:ascii="宋体" w:hAnsi="宋体" w:eastAsia="宋体" w:cs="宋体"/>
          <w:color w:val="auto"/>
          <w:sz w:val="24"/>
          <w:szCs w:val="24"/>
          <w:highlight w:val="none"/>
          <w:lang w:val="en-US" w:eastAsia="zh-CN"/>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应保障排水排污正常运行、沉淀药水补充充足，排水无堵塞、无超标；</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化粪池巡查每月</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1次，化粪池清理每半年</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1次，若出现淤积应马上清理；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集水坑、污水池每月清理1次、每周巡查</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2次，发现问题应及时处理并定期巡查窖井井盖，发现凹陷、破损、缺失及时处理；日常巡查沟、渠、池、井、地下给排水管道，发现堵塞及时进行疏通清洗；</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  汛期降雨前后及时对主要排水口、管井进行检查、配置适量防洪沙等设施，降雨过程排水出现异常情况，应该立即启动相应的应急预案；</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  楼宇内设有厨房、餐厅应安装污水处理设施或设备，对污水处理设备及隔油池进行定期维护保养，对污水排放进行抽样检查，发现异常及时报告处理。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宋体" w:hAnsi="宋体" w:eastAsia="宋体" w:cs="宋体"/>
          <w:color w:val="auto"/>
          <w:sz w:val="24"/>
          <w:szCs w:val="24"/>
          <w:highlight w:val="none"/>
          <w:lang w:val="en-US" w:eastAsia="zh-CN"/>
        </w:rPr>
      </w:pPr>
      <w:bookmarkStart w:id="205" w:name="_Toc26605"/>
      <w:r>
        <w:rPr>
          <w:rFonts w:hint="eastAsia" w:ascii="Times New Roman" w:hAnsi="Times New Roman" w:eastAsia="宋体" w:cs="Times New Roman"/>
          <w:b/>
          <w:bCs/>
          <w:i w:val="0"/>
          <w:color w:val="auto"/>
          <w:kern w:val="2"/>
          <w:sz w:val="24"/>
          <w:szCs w:val="24"/>
          <w:highlight w:val="none"/>
          <w:lang w:val="en-US" w:eastAsia="zh-CN" w:bidi="ar-SA"/>
        </w:rPr>
        <w:t>9.3.</w:t>
      </w:r>
      <w:r>
        <w:rPr>
          <w:rFonts w:hint="eastAsia" w:ascii="Times New Roman" w:hAnsi="Times New Roman" w:cs="Times New Roman"/>
          <w:b/>
          <w:bCs/>
          <w:i w:val="0"/>
          <w:color w:val="auto"/>
          <w:kern w:val="2"/>
          <w:sz w:val="24"/>
          <w:szCs w:val="24"/>
          <w:highlight w:val="none"/>
          <w:lang w:val="en-US" w:eastAsia="zh-CN" w:bidi="ar-SA"/>
        </w:rPr>
        <w:t>4</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给排水系统维护保养内容见附录B。</w:t>
      </w:r>
      <w:bookmarkEnd w:id="205"/>
    </w:p>
    <w:p>
      <w:pPr>
        <w:pStyle w:val="6"/>
        <w:tabs>
          <w:tab w:val="left" w:pos="420"/>
        </w:tabs>
        <w:spacing w:before="312" w:beforeLines="100" w:after="0" w:line="240" w:lineRule="auto"/>
        <w:jc w:val="center"/>
        <w:outlineLvl w:val="2"/>
        <w:rPr>
          <w:rFonts w:hint="eastAsia" w:ascii="Times New Roman" w:hAnsi="Times New Roman" w:eastAsia="黑体" w:cs="Times New Roman"/>
          <w:bCs w:val="0"/>
          <w:sz w:val="21"/>
          <w:szCs w:val="24"/>
          <w:highlight w:val="none"/>
          <w:lang w:val="en-US" w:eastAsia="zh-CN"/>
        </w:rPr>
      </w:pPr>
      <w:bookmarkStart w:id="206" w:name="_Toc19005"/>
      <w:r>
        <w:rPr>
          <w:rFonts w:hint="eastAsia" w:ascii="Times New Roman" w:hAnsi="Times New Roman" w:eastAsia="黑体" w:cs="Times New Roman"/>
          <w:bCs w:val="0"/>
          <w:sz w:val="21"/>
          <w:szCs w:val="24"/>
          <w:highlight w:val="none"/>
          <w:lang w:val="en-US" w:eastAsia="zh-CN"/>
        </w:rPr>
        <w:t>表9.3.3  项目主要分类服务标准—排水设备设施巡查维护</w:t>
      </w:r>
      <w:bookmarkEnd w:id="206"/>
    </w:p>
    <w:tbl>
      <w:tblPr>
        <w:tblStyle w:val="38"/>
        <w:tblW w:w="8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8"/>
        <w:gridCol w:w="621"/>
        <w:gridCol w:w="1214"/>
        <w:gridCol w:w="644"/>
        <w:gridCol w:w="1302"/>
        <w:gridCol w:w="580"/>
        <w:gridCol w:w="1214"/>
        <w:gridCol w:w="566"/>
        <w:gridCol w:w="1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1068" w:type="dxa"/>
            <w:vMerge w:val="restart"/>
            <w:tcBorders>
              <w:top w:val="single" w:color="000000" w:sz="12" w:space="0"/>
              <w:left w:val="single" w:color="000000" w:sz="12" w:space="0"/>
              <w:bottom w:val="single" w:color="000000" w:sz="4"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服务项目</w:t>
            </w:r>
          </w:p>
        </w:tc>
        <w:tc>
          <w:tcPr>
            <w:tcW w:w="1835" w:type="dxa"/>
            <w:gridSpan w:val="2"/>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电力调度大楼</w:t>
            </w:r>
          </w:p>
        </w:tc>
        <w:tc>
          <w:tcPr>
            <w:tcW w:w="1946" w:type="dxa"/>
            <w:gridSpan w:val="2"/>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发电厂</w:t>
            </w:r>
          </w:p>
        </w:tc>
        <w:tc>
          <w:tcPr>
            <w:tcW w:w="1794" w:type="dxa"/>
            <w:gridSpan w:val="2"/>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换流站、变电站</w:t>
            </w:r>
          </w:p>
        </w:tc>
        <w:tc>
          <w:tcPr>
            <w:tcW w:w="1755" w:type="dxa"/>
            <w:gridSpan w:val="2"/>
            <w:tcBorders>
              <w:top w:val="single" w:color="000000" w:sz="12" w:space="0"/>
              <w:left w:val="single" w:color="000000" w:sz="4" w:space="0"/>
              <w:bottom w:val="single" w:color="000000" w:sz="4" w:space="0"/>
              <w:right w:val="single" w:color="000000" w:sz="12"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仓储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068" w:type="dxa"/>
            <w:vMerge w:val="continue"/>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p>
        </w:tc>
        <w:tc>
          <w:tcPr>
            <w:tcW w:w="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频次</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服务标准</w:t>
            </w:r>
          </w:p>
        </w:tc>
        <w:tc>
          <w:tcPr>
            <w:tcW w:w="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频次</w:t>
            </w:r>
          </w:p>
        </w:tc>
        <w:tc>
          <w:tcPr>
            <w:tcW w:w="1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服务标准</w:t>
            </w:r>
          </w:p>
        </w:tc>
        <w:tc>
          <w:tcPr>
            <w:tcW w:w="5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频次</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服务标准</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频次</w:t>
            </w:r>
          </w:p>
        </w:tc>
        <w:tc>
          <w:tcPr>
            <w:tcW w:w="1189" w:type="dxa"/>
            <w:tcBorders>
              <w:top w:val="single" w:color="000000" w:sz="4" w:space="0"/>
              <w:left w:val="single" w:color="000000" w:sz="4" w:space="0"/>
              <w:bottom w:val="single" w:color="000000" w:sz="4" w:space="0"/>
              <w:right w:val="single" w:color="000000" w:sz="12"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服务标准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3" w:hRule="atLeast"/>
          <w:jc w:val="center"/>
        </w:trPr>
        <w:tc>
          <w:tcPr>
            <w:tcW w:w="1068"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排水、排污泵</w:t>
            </w:r>
          </w:p>
        </w:tc>
        <w:tc>
          <w:tcPr>
            <w:tcW w:w="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巡查≥1次/周</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 xml:space="preserve">水位、水压、电压、电流、声音、气味以及机房设备清洁、渗漏、液位及报警器是否正常 </w:t>
            </w:r>
          </w:p>
        </w:tc>
        <w:tc>
          <w:tcPr>
            <w:tcW w:w="6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巡查≥1次/周</w:t>
            </w:r>
          </w:p>
        </w:tc>
        <w:tc>
          <w:tcPr>
            <w:tcW w:w="13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 xml:space="preserve">水位、水压、电压、电流、声音、气味以及机房设备清洁、渗漏、液位及报警器是否正常 </w:t>
            </w:r>
          </w:p>
        </w:tc>
        <w:tc>
          <w:tcPr>
            <w:tcW w:w="5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巡查≥1次/周</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 xml:space="preserve">水位、水压、电压、电流、声音、气味以及机房设备清洁、渗漏、液位及报警器是否正常 </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巡查≥1次/2周</w:t>
            </w:r>
          </w:p>
        </w:tc>
        <w:tc>
          <w:tcPr>
            <w:tcW w:w="1189" w:type="dxa"/>
            <w:tcBorders>
              <w:top w:val="single" w:color="000000" w:sz="4" w:space="0"/>
              <w:left w:val="single" w:color="000000" w:sz="4" w:space="0"/>
              <w:bottom w:val="single" w:color="000000" w:sz="4" w:space="0"/>
              <w:right w:val="single" w:color="000000" w:sz="12"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 xml:space="preserve">水位、水压、电压、电流、声音、气味以及机房设备清洁、渗漏、液位及报警器是否正常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9" w:hRule="atLeast"/>
          <w:jc w:val="center"/>
        </w:trPr>
        <w:tc>
          <w:tcPr>
            <w:tcW w:w="1068"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隔油池</w:t>
            </w:r>
          </w:p>
        </w:tc>
        <w:tc>
          <w:tcPr>
            <w:tcW w:w="621"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巡查≥1次/月</w:t>
            </w:r>
          </w:p>
        </w:tc>
        <w:tc>
          <w:tcPr>
            <w:tcW w:w="1214"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盖板完整、出水口无油污溢出、周边清洁干净</w:t>
            </w:r>
          </w:p>
        </w:tc>
        <w:tc>
          <w:tcPr>
            <w:tcW w:w="644"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巡查≥1次/月</w:t>
            </w:r>
          </w:p>
        </w:tc>
        <w:tc>
          <w:tcPr>
            <w:tcW w:w="1302"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盖板完整、出水口无油污溢出、周边清洁干净</w:t>
            </w:r>
          </w:p>
        </w:tc>
        <w:tc>
          <w:tcPr>
            <w:tcW w:w="580"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巡查≥1次/月</w:t>
            </w:r>
          </w:p>
        </w:tc>
        <w:tc>
          <w:tcPr>
            <w:tcW w:w="1214"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盖板完整、出水口无油污溢出、周边清洁干净</w:t>
            </w:r>
          </w:p>
        </w:tc>
        <w:tc>
          <w:tcPr>
            <w:tcW w:w="566"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巡查≥1次/月</w:t>
            </w:r>
          </w:p>
        </w:tc>
        <w:tc>
          <w:tcPr>
            <w:tcW w:w="1189" w:type="dxa"/>
            <w:tcBorders>
              <w:top w:val="single" w:color="000000" w:sz="4" w:space="0"/>
              <w:left w:val="single" w:color="000000" w:sz="4" w:space="0"/>
              <w:bottom w:val="single" w:color="000000" w:sz="12" w:space="0"/>
              <w:right w:val="single" w:color="000000" w:sz="12"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盖板完整、出水口无油污溢出、周边清洁干净</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ascii="宋体" w:hAnsi="宋体" w:eastAsia="宋体" w:cs="宋体"/>
          <w:b/>
          <w:bCs/>
          <w:color w:val="auto"/>
          <w:sz w:val="24"/>
          <w:szCs w:val="24"/>
          <w:highlight w:val="none"/>
          <w:lang w:val="en-US" w:eastAsia="zh-CN"/>
        </w:rPr>
      </w:pPr>
      <w:bookmarkStart w:id="207" w:name="_Toc29607"/>
      <w:bookmarkStart w:id="208" w:name="_Toc20500"/>
      <w:r>
        <w:rPr>
          <w:rFonts w:hint="eastAsia" w:ascii="宋体" w:hAnsi="宋体" w:eastAsia="宋体" w:cs="宋体"/>
          <w:b/>
          <w:bCs/>
          <w:color w:val="auto"/>
          <w:sz w:val="24"/>
          <w:szCs w:val="24"/>
          <w:highlight w:val="none"/>
          <w:lang w:val="en-US" w:eastAsia="zh-CN"/>
        </w:rPr>
        <w:t>9.4  电梯系统</w:t>
      </w:r>
      <w:bookmarkEnd w:id="207"/>
      <w:bookmarkEnd w:id="208"/>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auto"/>
          <w:sz w:val="24"/>
          <w:szCs w:val="24"/>
          <w:highlight w:val="none"/>
        </w:rPr>
      </w:pPr>
      <w:r>
        <w:rPr>
          <w:rFonts w:hint="eastAsia" w:ascii="Times New Roman" w:hAnsi="Times New Roman" w:eastAsia="宋体" w:cs="Times New Roman"/>
          <w:b/>
          <w:bCs/>
          <w:i w:val="0"/>
          <w:color w:val="auto"/>
          <w:kern w:val="2"/>
          <w:sz w:val="24"/>
          <w:szCs w:val="24"/>
          <w:highlight w:val="none"/>
          <w:lang w:val="en-US" w:eastAsia="zh-CN" w:bidi="ar-SA"/>
        </w:rPr>
        <w:t>9.4.1</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
        </w:rPr>
        <w:t>应建立电梯系统运行、维护保养管理制度、应急操作流程和年度演练计划。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auto"/>
          <w:sz w:val="24"/>
          <w:szCs w:val="24"/>
          <w:highlight w:val="none"/>
        </w:rPr>
      </w:pPr>
      <w:r>
        <w:rPr>
          <w:rFonts w:hint="eastAsia" w:ascii="Times New Roman" w:hAnsi="Times New Roman" w:eastAsia="宋体" w:cs="Times New Roman"/>
          <w:b/>
          <w:bCs/>
          <w:i w:val="0"/>
          <w:color w:val="auto"/>
          <w:kern w:val="2"/>
          <w:sz w:val="24"/>
          <w:szCs w:val="24"/>
          <w:highlight w:val="none"/>
          <w:lang w:val="en-US" w:eastAsia="zh-CN" w:bidi="ar-SA"/>
        </w:rPr>
        <w:t xml:space="preserve">9.4.2 </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
        </w:rPr>
        <w:t xml:space="preserve">应在轿箱内张贴最新的特种设备检验机构出具的《安全检验合格证》和《特种设备使用登记证》。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auto"/>
          <w:sz w:val="24"/>
          <w:szCs w:val="24"/>
          <w:highlight w:val="none"/>
          <w:lang w:val="en-US"/>
        </w:rPr>
      </w:pPr>
      <w:r>
        <w:rPr>
          <w:rFonts w:hint="eastAsia" w:ascii="Times New Roman" w:hAnsi="Times New Roman" w:eastAsia="宋体" w:cs="Times New Roman"/>
          <w:b/>
          <w:bCs/>
          <w:i w:val="0"/>
          <w:color w:val="auto"/>
          <w:kern w:val="2"/>
          <w:sz w:val="24"/>
          <w:szCs w:val="24"/>
          <w:highlight w:val="none"/>
          <w:lang w:val="en-US" w:eastAsia="zh-CN" w:bidi="ar-SA"/>
        </w:rPr>
        <w:t xml:space="preserve">9.4.3 </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
        </w:rPr>
        <w:t>应外委具有维修保养资质的单位与之签订电梯维保合同并</w:t>
      </w:r>
      <w:r>
        <w:rPr>
          <w:rFonts w:hint="eastAsia" w:ascii="宋体" w:hAnsi="宋体" w:cs="宋体"/>
          <w:color w:val="auto"/>
          <w:kern w:val="0"/>
          <w:sz w:val="24"/>
          <w:szCs w:val="24"/>
          <w:highlight w:val="none"/>
          <w:lang w:val="en-US" w:eastAsia="zh-CN" w:bidi="ar"/>
        </w:rPr>
        <w:t>应符合现行行业标准《电梯维护保养规则》</w:t>
      </w:r>
      <w:r>
        <w:rPr>
          <w:rFonts w:hint="eastAsia" w:ascii="宋体" w:hAnsi="宋体" w:eastAsia="宋体" w:cs="宋体"/>
          <w:color w:val="auto"/>
          <w:kern w:val="0"/>
          <w:sz w:val="24"/>
          <w:szCs w:val="24"/>
          <w:highlight w:val="none"/>
          <w:lang w:val="en-US" w:eastAsia="zh-CN" w:bidi="ar"/>
        </w:rPr>
        <w:t>TSG T5002的</w:t>
      </w:r>
      <w:r>
        <w:rPr>
          <w:rFonts w:hint="eastAsia" w:ascii="宋体" w:hAnsi="宋体" w:cs="宋体"/>
          <w:color w:val="auto"/>
          <w:kern w:val="0"/>
          <w:sz w:val="24"/>
          <w:szCs w:val="24"/>
          <w:highlight w:val="none"/>
          <w:lang w:val="en-US" w:eastAsia="zh-CN" w:bidi="ar"/>
        </w:rPr>
        <w:t>相关规定</w:t>
      </w:r>
      <w:r>
        <w:rPr>
          <w:rFonts w:hint="eastAsia" w:ascii="宋体" w:hAnsi="宋体" w:eastAsia="宋体" w:cs="宋体"/>
          <w:color w:val="auto"/>
          <w:kern w:val="0"/>
          <w:sz w:val="24"/>
          <w:szCs w:val="24"/>
          <w:highlight w:val="none"/>
          <w:lang w:val="en-US" w:eastAsia="zh-CN" w:bidi="ar"/>
        </w:rPr>
        <w:t>进行维保；并提供派驻保养作业人员有效证件备查。维保合同约定不限于以下要求：电梯故障、困人应急处理响应时间；维保计划安排和停梯预告；上门维保确认、监督配合；设备磨损情况分析报告以及维保期间的安全措施等，物业服务单位监督电梯保养单位按规定做好保养并做好保养记录归档备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auto"/>
          <w:kern w:val="0"/>
          <w:sz w:val="24"/>
          <w:szCs w:val="24"/>
          <w:highlight w:val="none"/>
          <w:lang w:val="en-US" w:eastAsia="zh-CN" w:bidi="ar"/>
        </w:rPr>
      </w:pPr>
      <w:r>
        <w:rPr>
          <w:rFonts w:hint="eastAsia" w:ascii="Times New Roman" w:hAnsi="Times New Roman" w:eastAsia="宋体" w:cs="Times New Roman"/>
          <w:b/>
          <w:bCs/>
          <w:i w:val="0"/>
          <w:color w:val="auto"/>
          <w:kern w:val="2"/>
          <w:sz w:val="24"/>
          <w:szCs w:val="24"/>
          <w:highlight w:val="none"/>
          <w:lang w:val="en-US" w:eastAsia="zh-CN" w:bidi="ar-SA"/>
        </w:rPr>
        <w:t xml:space="preserve">9.4.4 </w:t>
      </w:r>
      <w:r>
        <w:rPr>
          <w:rFonts w:hint="eastAsia" w:ascii="宋体" w:hAnsi="宋体" w:eastAsia="宋体" w:cs="宋体"/>
          <w:b w:val="0"/>
          <w:i w:val="0"/>
          <w:color w:val="auto"/>
          <w:sz w:val="24"/>
          <w:szCs w:val="24"/>
          <w:highlight w:val="none"/>
          <w:lang w:val="en-US" w:eastAsia="zh-CN" w:bidi="ar-SA"/>
        </w:rPr>
        <w:t xml:space="preserve"> 应按《特种设备使用单位落实使用安全主体责任监督管理规定》规定</w:t>
      </w:r>
      <w:r>
        <w:rPr>
          <w:rFonts w:hint="eastAsia" w:ascii="宋体" w:hAnsi="宋体" w:eastAsia="宋体" w:cs="宋体"/>
          <w:color w:val="auto"/>
          <w:kern w:val="0"/>
          <w:sz w:val="24"/>
          <w:szCs w:val="24"/>
          <w:highlight w:val="none"/>
          <w:lang w:val="en-US" w:eastAsia="zh-CN" w:bidi="ar"/>
        </w:rPr>
        <w:t>配置电梯安全总监和电梯安全管理员，每台电梯应有责任人对电梯维保进行监督，确保电梯正常运行；在发生电梯困人或其它重大事件时，电梯安全管理人员应及时处理并通知专业维修保养员进行处理和抢修，专业维修保养人员应在30分钟内到达现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auto"/>
          <w:kern w:val="0"/>
          <w:sz w:val="24"/>
          <w:szCs w:val="24"/>
          <w:highlight w:val="none"/>
          <w:lang w:val="en-US" w:eastAsia="zh-CN" w:bidi="ar"/>
        </w:rPr>
      </w:pPr>
      <w:r>
        <w:rPr>
          <w:rFonts w:hint="eastAsia" w:ascii="Times New Roman" w:hAnsi="Times New Roman" w:eastAsia="宋体" w:cs="Times New Roman"/>
          <w:b/>
          <w:bCs/>
          <w:i w:val="0"/>
          <w:color w:val="auto"/>
          <w:kern w:val="2"/>
          <w:sz w:val="24"/>
          <w:szCs w:val="24"/>
          <w:highlight w:val="none"/>
          <w:lang w:val="en-US" w:eastAsia="zh-CN" w:bidi="ar-SA"/>
        </w:rPr>
        <w:t xml:space="preserve">9.4.5 </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
        </w:rPr>
        <w:t>电梯设备应建立完整的设备设施台帐，做到一梯一档，大中修都应记录存档备查。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auto"/>
          <w:kern w:val="0"/>
          <w:sz w:val="24"/>
          <w:szCs w:val="24"/>
          <w:highlight w:val="none"/>
          <w:lang w:val="en-US" w:eastAsia="zh-CN" w:bidi="ar"/>
        </w:rPr>
      </w:pPr>
      <w:r>
        <w:rPr>
          <w:rFonts w:hint="eastAsia" w:ascii="Times New Roman" w:hAnsi="Times New Roman" w:eastAsia="宋体" w:cs="Times New Roman"/>
          <w:b/>
          <w:bCs/>
          <w:i w:val="0"/>
          <w:color w:val="auto"/>
          <w:kern w:val="2"/>
          <w:sz w:val="24"/>
          <w:szCs w:val="24"/>
          <w:highlight w:val="none"/>
          <w:lang w:val="en-US" w:eastAsia="zh-CN" w:bidi="ar-SA"/>
        </w:rPr>
        <w:t xml:space="preserve">9.4.6 </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
        </w:rPr>
        <w:t>定期进行电梯事故应急和救援预案演练，检查应急照明、灭火器和盘车工具齐全，张贴悬挂盘车流程和平层表等。</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outlineLvl w:val="1"/>
        <w:rPr>
          <w:rFonts w:hint="eastAsia" w:ascii="宋体" w:hAnsi="宋体" w:eastAsia="宋体" w:cs="宋体"/>
          <w:color w:val="auto"/>
          <w:kern w:val="0"/>
          <w:sz w:val="24"/>
          <w:szCs w:val="24"/>
          <w:highlight w:val="none"/>
          <w:lang w:val="en-US" w:eastAsia="zh-CN" w:bidi="ar"/>
        </w:rPr>
      </w:pPr>
      <w:bookmarkStart w:id="209" w:name="_Toc2827"/>
      <w:r>
        <w:rPr>
          <w:rFonts w:hint="eastAsia" w:ascii="Times New Roman" w:hAnsi="Times New Roman" w:eastAsia="宋体" w:cs="Times New Roman"/>
          <w:b/>
          <w:bCs/>
          <w:i w:val="0"/>
          <w:color w:val="auto"/>
          <w:kern w:val="2"/>
          <w:sz w:val="24"/>
          <w:szCs w:val="24"/>
          <w:highlight w:val="none"/>
          <w:lang w:val="en-US" w:eastAsia="zh-CN" w:bidi="ar-SA"/>
        </w:rPr>
        <w:t xml:space="preserve">9.4.7 </w:t>
      </w:r>
      <w:r>
        <w:rPr>
          <w:rFonts w:hint="eastAsia" w:ascii="宋体" w:hAnsi="宋体" w:eastAsia="宋体" w:cs="宋体"/>
          <w:b w:val="0"/>
          <w:i w:val="0"/>
          <w:color w:val="auto"/>
          <w:kern w:val="2"/>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
        </w:rPr>
        <w:t>电梯系统巡查要求见表9.4.7。</w:t>
      </w:r>
      <w:bookmarkEnd w:id="209"/>
    </w:p>
    <w:p>
      <w:pPr>
        <w:pStyle w:val="6"/>
        <w:tabs>
          <w:tab w:val="left" w:pos="420"/>
        </w:tabs>
        <w:spacing w:before="312" w:beforeLines="100" w:after="0" w:line="240" w:lineRule="auto"/>
        <w:jc w:val="center"/>
        <w:outlineLvl w:val="2"/>
        <w:rPr>
          <w:rFonts w:hint="eastAsia" w:ascii="Times New Roman" w:hAnsi="Times New Roman" w:eastAsia="黑体" w:cs="Times New Roman"/>
          <w:bCs w:val="0"/>
          <w:sz w:val="21"/>
          <w:szCs w:val="24"/>
          <w:highlight w:val="none"/>
          <w:lang w:val="en-US" w:eastAsia="zh-CN"/>
        </w:rPr>
      </w:pPr>
      <w:bookmarkStart w:id="210" w:name="_Toc15333"/>
      <w:r>
        <w:rPr>
          <w:rFonts w:hint="eastAsia" w:ascii="Times New Roman" w:hAnsi="Times New Roman" w:eastAsia="黑体" w:cs="Times New Roman"/>
          <w:bCs w:val="0"/>
          <w:sz w:val="21"/>
          <w:szCs w:val="24"/>
          <w:highlight w:val="none"/>
          <w:lang w:val="en-US" w:eastAsia="zh-CN"/>
        </w:rPr>
        <w:t>表9.4.7  项目主要分类服务标准—电梯系统巡查</w:t>
      </w:r>
      <w:bookmarkEnd w:id="210"/>
    </w:p>
    <w:tbl>
      <w:tblPr>
        <w:tblStyle w:val="38"/>
        <w:tblW w:w="87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8"/>
        <w:gridCol w:w="506"/>
        <w:gridCol w:w="1360"/>
        <w:gridCol w:w="519"/>
        <w:gridCol w:w="1533"/>
        <w:gridCol w:w="613"/>
        <w:gridCol w:w="1479"/>
        <w:gridCol w:w="613"/>
        <w:gridCol w:w="15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8" w:type="dxa"/>
            <w:vMerge w:val="restart"/>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服务项目</w:t>
            </w:r>
          </w:p>
        </w:tc>
        <w:tc>
          <w:tcPr>
            <w:tcW w:w="1866" w:type="dxa"/>
            <w:gridSpan w:val="2"/>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电力调度大楼</w:t>
            </w:r>
          </w:p>
        </w:tc>
        <w:tc>
          <w:tcPr>
            <w:tcW w:w="2052" w:type="dxa"/>
            <w:gridSpan w:val="2"/>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发电厂</w:t>
            </w:r>
          </w:p>
        </w:tc>
        <w:tc>
          <w:tcPr>
            <w:tcW w:w="2092" w:type="dxa"/>
            <w:gridSpan w:val="2"/>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换流站、变电站</w:t>
            </w:r>
          </w:p>
        </w:tc>
        <w:tc>
          <w:tcPr>
            <w:tcW w:w="2150" w:type="dxa"/>
            <w:gridSpan w:val="2"/>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仓储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38" w:type="dxa"/>
            <w:vMerge w:val="continue"/>
            <w:tcBorders>
              <w:bottom w:val="single" w:color="000000" w:sz="12"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p>
        </w:tc>
        <w:tc>
          <w:tcPr>
            <w:tcW w:w="506" w:type="dxa"/>
            <w:tcBorders>
              <w:bottom w:val="single" w:color="000000" w:sz="12"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频次</w:t>
            </w:r>
          </w:p>
        </w:tc>
        <w:tc>
          <w:tcPr>
            <w:tcW w:w="1360" w:type="dxa"/>
            <w:tcBorders>
              <w:bottom w:val="single" w:color="000000" w:sz="12"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服务标准</w:t>
            </w:r>
          </w:p>
        </w:tc>
        <w:tc>
          <w:tcPr>
            <w:tcW w:w="519" w:type="dxa"/>
            <w:tcBorders>
              <w:bottom w:val="single" w:color="000000" w:sz="12"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频次</w:t>
            </w:r>
          </w:p>
        </w:tc>
        <w:tc>
          <w:tcPr>
            <w:tcW w:w="1533" w:type="dxa"/>
            <w:tcBorders>
              <w:bottom w:val="single" w:color="000000" w:sz="12"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服务标准</w:t>
            </w:r>
          </w:p>
        </w:tc>
        <w:tc>
          <w:tcPr>
            <w:tcW w:w="613" w:type="dxa"/>
            <w:tcBorders>
              <w:bottom w:val="single" w:color="000000" w:sz="12"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频次</w:t>
            </w:r>
          </w:p>
        </w:tc>
        <w:tc>
          <w:tcPr>
            <w:tcW w:w="1479" w:type="dxa"/>
            <w:tcBorders>
              <w:bottom w:val="single" w:color="000000" w:sz="12"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服务标准</w:t>
            </w:r>
          </w:p>
        </w:tc>
        <w:tc>
          <w:tcPr>
            <w:tcW w:w="613" w:type="dxa"/>
            <w:tcBorders>
              <w:bottom w:val="single" w:color="000000" w:sz="12"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频次</w:t>
            </w:r>
          </w:p>
        </w:tc>
        <w:tc>
          <w:tcPr>
            <w:tcW w:w="1537" w:type="dxa"/>
            <w:tcBorders>
              <w:bottom w:val="single" w:color="000000" w:sz="12"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服务标准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4" w:hRule="atLeast"/>
          <w:jc w:val="center"/>
        </w:trPr>
        <w:tc>
          <w:tcPr>
            <w:tcW w:w="638" w:type="dxa"/>
            <w:tcBorders>
              <w:top w:val="single" w:color="000000" w:sz="12" w:space="0"/>
              <w:bottom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轿箱</w:t>
            </w:r>
          </w:p>
        </w:tc>
        <w:tc>
          <w:tcPr>
            <w:tcW w:w="506" w:type="dxa"/>
            <w:tcBorders>
              <w:top w:val="single" w:color="000000" w:sz="12" w:space="0"/>
              <w:bottom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≥2次/天</w:t>
            </w:r>
          </w:p>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p>
        </w:tc>
        <w:tc>
          <w:tcPr>
            <w:tcW w:w="1360" w:type="dxa"/>
            <w:tcBorders>
              <w:top w:val="single" w:color="000000" w:sz="12" w:space="0"/>
              <w:bottom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轿厢通风、照明、清洁正常；按钮显示使用正常</w:t>
            </w:r>
            <w:r>
              <w:rPr>
                <w:rFonts w:hint="eastAsia" w:ascii="宋体" w:hAnsi="宋体" w:cs="宋体"/>
                <w:color w:val="auto"/>
                <w:kern w:val="0"/>
                <w:sz w:val="18"/>
                <w:szCs w:val="18"/>
                <w:highlight w:val="none"/>
                <w:lang w:val="en-US" w:eastAsia="zh-CN" w:bidi="ar"/>
              </w:rPr>
              <w:t>，</w:t>
            </w:r>
            <w:r>
              <w:rPr>
                <w:rFonts w:hint="eastAsia" w:ascii="宋体" w:hAnsi="宋体" w:eastAsia="宋体" w:cs="宋体"/>
                <w:color w:val="auto"/>
                <w:kern w:val="0"/>
                <w:sz w:val="18"/>
                <w:szCs w:val="18"/>
                <w:highlight w:val="none"/>
                <w:lang w:val="en-US" w:eastAsia="zh-CN" w:bidi="ar"/>
              </w:rPr>
              <w:t xml:space="preserve">轿厢门/厅门开关顺畅、运行平稳无异； </w:t>
            </w:r>
          </w:p>
        </w:tc>
        <w:tc>
          <w:tcPr>
            <w:tcW w:w="519" w:type="dxa"/>
            <w:tcBorders>
              <w:top w:val="single" w:color="000000" w:sz="12" w:space="0"/>
              <w:bottom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 次/天</w:t>
            </w:r>
          </w:p>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p>
        </w:tc>
        <w:tc>
          <w:tcPr>
            <w:tcW w:w="1533" w:type="dxa"/>
            <w:tcBorders>
              <w:top w:val="single" w:color="000000" w:sz="12" w:space="0"/>
              <w:bottom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轿厢通风、照明、清洁正常；按钮显示使用正常</w:t>
            </w:r>
            <w:r>
              <w:rPr>
                <w:rFonts w:hint="eastAsia" w:ascii="宋体" w:hAnsi="宋体" w:cs="宋体"/>
                <w:color w:val="auto"/>
                <w:kern w:val="0"/>
                <w:sz w:val="18"/>
                <w:szCs w:val="18"/>
                <w:highlight w:val="none"/>
                <w:lang w:val="en-US" w:eastAsia="zh-CN" w:bidi="ar"/>
              </w:rPr>
              <w:t>，</w:t>
            </w:r>
            <w:r>
              <w:rPr>
                <w:rFonts w:hint="eastAsia" w:ascii="宋体" w:hAnsi="宋体" w:eastAsia="宋体" w:cs="宋体"/>
                <w:color w:val="auto"/>
                <w:kern w:val="0"/>
                <w:sz w:val="18"/>
                <w:szCs w:val="18"/>
                <w:highlight w:val="none"/>
                <w:lang w:val="en-US" w:eastAsia="zh-CN" w:bidi="ar"/>
              </w:rPr>
              <w:t>轿厢门/厅门开关顺畅、运行平稳无异；五方通话呼叫正常；</w:t>
            </w:r>
          </w:p>
        </w:tc>
        <w:tc>
          <w:tcPr>
            <w:tcW w:w="613" w:type="dxa"/>
            <w:tcBorders>
              <w:top w:val="single" w:color="000000" w:sz="12" w:space="0"/>
              <w:bottom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≥1次/天</w:t>
            </w:r>
          </w:p>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p>
        </w:tc>
        <w:tc>
          <w:tcPr>
            <w:tcW w:w="1479" w:type="dxa"/>
            <w:tcBorders>
              <w:top w:val="single" w:color="000000" w:sz="12" w:space="0"/>
              <w:bottom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轿厢通风、照明、清洁正常；按钮显示使用正常</w:t>
            </w:r>
            <w:r>
              <w:rPr>
                <w:rFonts w:hint="eastAsia" w:ascii="宋体" w:hAnsi="宋体" w:cs="宋体"/>
                <w:color w:val="auto"/>
                <w:kern w:val="0"/>
                <w:sz w:val="18"/>
                <w:szCs w:val="18"/>
                <w:highlight w:val="none"/>
                <w:lang w:val="en-US" w:eastAsia="zh-CN" w:bidi="ar"/>
              </w:rPr>
              <w:t>，</w:t>
            </w:r>
            <w:r>
              <w:rPr>
                <w:rFonts w:hint="eastAsia" w:ascii="宋体" w:hAnsi="宋体" w:eastAsia="宋体" w:cs="宋体"/>
                <w:color w:val="auto"/>
                <w:kern w:val="0"/>
                <w:sz w:val="18"/>
                <w:szCs w:val="18"/>
                <w:highlight w:val="none"/>
                <w:lang w:val="en-US" w:eastAsia="zh-CN" w:bidi="ar"/>
              </w:rPr>
              <w:t>轿厢门/厅门开关顺畅、运行平稳无异；五方通话呼叫正常；</w:t>
            </w:r>
          </w:p>
        </w:tc>
        <w:tc>
          <w:tcPr>
            <w:tcW w:w="613" w:type="dxa"/>
            <w:tcBorders>
              <w:top w:val="single" w:color="000000" w:sz="12" w:space="0"/>
              <w:bottom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≥1次/天</w:t>
            </w:r>
          </w:p>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p>
        </w:tc>
        <w:tc>
          <w:tcPr>
            <w:tcW w:w="1537" w:type="dxa"/>
            <w:tcBorders>
              <w:top w:val="single" w:color="000000" w:sz="12" w:space="0"/>
              <w:bottom w:val="single" w:color="000000" w:sz="4" w:space="0"/>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轿厢通风、照明、清洁正常；按钮显示使用正常</w:t>
            </w:r>
            <w:r>
              <w:rPr>
                <w:rFonts w:hint="eastAsia" w:ascii="宋体" w:hAnsi="宋体" w:cs="宋体"/>
                <w:color w:val="auto"/>
                <w:kern w:val="0"/>
                <w:sz w:val="18"/>
                <w:szCs w:val="18"/>
                <w:highlight w:val="none"/>
                <w:lang w:val="en-US" w:eastAsia="zh-CN" w:bidi="ar"/>
              </w:rPr>
              <w:t>，</w:t>
            </w:r>
            <w:r>
              <w:rPr>
                <w:rFonts w:hint="eastAsia" w:ascii="宋体" w:hAnsi="宋体" w:eastAsia="宋体" w:cs="宋体"/>
                <w:color w:val="auto"/>
                <w:kern w:val="0"/>
                <w:sz w:val="18"/>
                <w:szCs w:val="18"/>
                <w:highlight w:val="none"/>
                <w:lang w:val="en-US" w:eastAsia="zh-CN" w:bidi="ar"/>
              </w:rPr>
              <w:t>轿厢门/厅门开关顺畅、运行平稳无异；五方通话呼叫正常；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08" w:hRule="atLeast"/>
          <w:jc w:val="center"/>
        </w:trPr>
        <w:tc>
          <w:tcPr>
            <w:tcW w:w="638" w:type="dxa"/>
            <w:tcBorders>
              <w:tl2br w:val="nil"/>
              <w:tr2bl w:val="nil"/>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机房</w:t>
            </w:r>
          </w:p>
        </w:tc>
        <w:tc>
          <w:tcPr>
            <w:tcW w:w="506" w:type="dxa"/>
            <w:tcBorders>
              <w:tl2br w:val="nil"/>
              <w:tr2bl w:val="nil"/>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≥2次/天</w:t>
            </w:r>
          </w:p>
        </w:tc>
        <w:tc>
          <w:tcPr>
            <w:tcW w:w="1360" w:type="dxa"/>
            <w:tcBorders>
              <w:tl2br w:val="nil"/>
              <w:tr2bl w:val="nil"/>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机房通风、照明和应急灯及清洁正常；消防器材齐备；防小动物措施良好；盘查救援工具齐备良好</w:t>
            </w:r>
          </w:p>
        </w:tc>
        <w:tc>
          <w:tcPr>
            <w:tcW w:w="519" w:type="dxa"/>
            <w:tcBorders>
              <w:tl2br w:val="nil"/>
              <w:tr2bl w:val="nil"/>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 次/天</w:t>
            </w:r>
          </w:p>
        </w:tc>
        <w:tc>
          <w:tcPr>
            <w:tcW w:w="1533" w:type="dxa"/>
            <w:tcBorders>
              <w:tl2br w:val="nil"/>
              <w:tr2bl w:val="nil"/>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机房通风、照明和应急灯及清洁正常；消防器材齐备；防小动物措施良好；盘查救援工具齐备良好</w:t>
            </w:r>
          </w:p>
        </w:tc>
        <w:tc>
          <w:tcPr>
            <w:tcW w:w="613" w:type="dxa"/>
            <w:tcBorders>
              <w:tl2br w:val="nil"/>
              <w:tr2bl w:val="nil"/>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≥1次/天</w:t>
            </w:r>
          </w:p>
        </w:tc>
        <w:tc>
          <w:tcPr>
            <w:tcW w:w="1479" w:type="dxa"/>
            <w:tcBorders>
              <w:tl2br w:val="nil"/>
              <w:tr2bl w:val="nil"/>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机房通风、照明和应急灯及清洁正常；消防器材齐备；防小动物措施良好；盘查救援工具齐备良好</w:t>
            </w:r>
          </w:p>
        </w:tc>
        <w:tc>
          <w:tcPr>
            <w:tcW w:w="613" w:type="dxa"/>
            <w:tcBorders>
              <w:tl2br w:val="nil"/>
              <w:tr2bl w:val="nil"/>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≥1次/天</w:t>
            </w:r>
          </w:p>
        </w:tc>
        <w:tc>
          <w:tcPr>
            <w:tcW w:w="1537" w:type="dxa"/>
            <w:tcBorders>
              <w:tl2br w:val="nil"/>
              <w:tr2bl w:val="nil"/>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机房通风、照明和应急灯及清洁正常；消防器材齐备；防小动物措施良好；盘查救援工具齐备良好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638" w:type="dxa"/>
            <w:tcBorders>
              <w:tl2br w:val="nil"/>
              <w:tr2bl w:val="nil"/>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电梯底坑</w:t>
            </w:r>
          </w:p>
        </w:tc>
        <w:tc>
          <w:tcPr>
            <w:tcW w:w="506" w:type="dxa"/>
            <w:tcBorders>
              <w:tl2br w:val="nil"/>
              <w:tr2bl w:val="nil"/>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≥2次/月</w:t>
            </w:r>
          </w:p>
        </w:tc>
        <w:tc>
          <w:tcPr>
            <w:tcW w:w="1360" w:type="dxa"/>
            <w:tcBorders>
              <w:tl2br w:val="nil"/>
              <w:tr2bl w:val="nil"/>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底坑无明显 积水和杂物</w:t>
            </w:r>
          </w:p>
        </w:tc>
        <w:tc>
          <w:tcPr>
            <w:tcW w:w="519" w:type="dxa"/>
            <w:tcBorders>
              <w:tl2br w:val="nil"/>
              <w:tr2bl w:val="nil"/>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≥2次/月</w:t>
            </w:r>
          </w:p>
        </w:tc>
        <w:tc>
          <w:tcPr>
            <w:tcW w:w="1533" w:type="dxa"/>
            <w:tcBorders>
              <w:tl2br w:val="nil"/>
              <w:tr2bl w:val="nil"/>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底坑无明显积水和杂物</w:t>
            </w:r>
          </w:p>
        </w:tc>
        <w:tc>
          <w:tcPr>
            <w:tcW w:w="613" w:type="dxa"/>
            <w:tcBorders>
              <w:tl2br w:val="nil"/>
              <w:tr2bl w:val="nil"/>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≥2次/月</w:t>
            </w:r>
          </w:p>
        </w:tc>
        <w:tc>
          <w:tcPr>
            <w:tcW w:w="1479" w:type="dxa"/>
            <w:tcBorders>
              <w:tl2br w:val="nil"/>
              <w:tr2bl w:val="nil"/>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底坑无明显积水和杂物</w:t>
            </w:r>
          </w:p>
        </w:tc>
        <w:tc>
          <w:tcPr>
            <w:tcW w:w="613" w:type="dxa"/>
            <w:tcBorders>
              <w:tl2br w:val="nil"/>
              <w:tr2bl w:val="nil"/>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≥2次/月</w:t>
            </w:r>
          </w:p>
        </w:tc>
        <w:tc>
          <w:tcPr>
            <w:tcW w:w="1537" w:type="dxa"/>
            <w:tcBorders>
              <w:tl2br w:val="nil"/>
              <w:tr2bl w:val="nil"/>
            </w:tcBorders>
            <w:noWrap/>
            <w:vAlign w:val="center"/>
          </w:tcPr>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底坑无明显积水和杂物</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rPr>
          <w:rFonts w:hint="eastAsia" w:ascii="宋体" w:hAnsi="宋体" w:eastAsia="宋体" w:cs="宋体"/>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default" w:ascii="宋体" w:hAnsi="宋体" w:eastAsia="宋体" w:cs="宋体"/>
          <w:b/>
          <w:bCs/>
          <w:color w:val="auto"/>
          <w:sz w:val="24"/>
          <w:szCs w:val="24"/>
          <w:highlight w:val="none"/>
          <w:lang w:val="en-US" w:eastAsia="zh-CN"/>
        </w:rPr>
      </w:pPr>
      <w:bookmarkStart w:id="211" w:name="_Toc28280"/>
      <w:r>
        <w:rPr>
          <w:rFonts w:hint="eastAsia" w:ascii="宋体" w:hAnsi="宋体" w:eastAsia="宋体" w:cs="宋体"/>
          <w:b/>
          <w:bCs/>
          <w:color w:val="auto"/>
          <w:sz w:val="24"/>
          <w:szCs w:val="24"/>
          <w:highlight w:val="none"/>
          <w:lang w:val="en-US" w:eastAsia="zh-CN"/>
        </w:rPr>
        <w:t>9.5  消防设施设备</w:t>
      </w:r>
      <w:bookmarkEnd w:id="211"/>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9.5.1</w:t>
      </w:r>
      <w:r>
        <w:rPr>
          <w:rFonts w:hint="eastAsia" w:ascii="宋体" w:hAnsi="宋体" w:eastAsia="宋体" w:cs="宋体"/>
          <w:color w:val="auto"/>
          <w:sz w:val="24"/>
          <w:szCs w:val="24"/>
          <w:highlight w:val="none"/>
          <w:lang w:val="en-US" w:eastAsia="zh-CN"/>
        </w:rPr>
        <w:t xml:space="preserve">  建立消防设施设备系统运行、维修保养、安全及管理制度和操作规程，包括但不限于以下内容：</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同一建筑有两个及以上产权、使用单位的消防设施，应该明确建筑消防设施的维护管理责任，对建筑消防设施实行统一管理并以合同方式约定各自的权利义务；</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由具备</w:t>
      </w:r>
      <w:r>
        <w:rPr>
          <w:rFonts w:hint="eastAsia" w:ascii="宋体" w:hAnsi="宋体" w:eastAsia="宋体" w:cs="宋体"/>
          <w:color w:val="auto"/>
          <w:sz w:val="24"/>
          <w:szCs w:val="24"/>
          <w:highlight w:val="none"/>
        </w:rPr>
        <w:t>消防技术服务机构</w:t>
      </w:r>
      <w:r>
        <w:rPr>
          <w:rFonts w:hint="eastAsia" w:ascii="宋体" w:hAnsi="宋体" w:eastAsia="宋体" w:cs="宋体"/>
          <w:color w:val="auto"/>
          <w:sz w:val="24"/>
          <w:szCs w:val="24"/>
          <w:highlight w:val="none"/>
          <w:lang w:val="en-US" w:eastAsia="zh-CN"/>
        </w:rPr>
        <w:t>资质的单位</w:t>
      </w:r>
      <w:r>
        <w:rPr>
          <w:rFonts w:hint="eastAsia" w:ascii="宋体" w:hAnsi="宋体" w:cs="宋体"/>
          <w:color w:val="auto"/>
          <w:sz w:val="24"/>
          <w:szCs w:val="24"/>
          <w:highlight w:val="none"/>
          <w:lang w:val="en-US" w:eastAsia="zh-CN"/>
        </w:rPr>
        <w:t>应符合现行国家标准《</w:t>
      </w:r>
      <w:r>
        <w:rPr>
          <w:rFonts w:hint="eastAsia" w:ascii="宋体" w:hAnsi="宋体" w:eastAsia="宋体" w:cs="宋体"/>
          <w:color w:val="auto"/>
          <w:sz w:val="24"/>
          <w:szCs w:val="24"/>
          <w:highlight w:val="none"/>
          <w:lang w:val="en-US" w:eastAsia="zh-CN"/>
        </w:rPr>
        <w:t>建筑消防设施的维护管理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GB 25201</w:t>
      </w:r>
      <w:r>
        <w:rPr>
          <w:rFonts w:hint="eastAsia" w:ascii="宋体" w:hAnsi="宋体" w:cs="宋体"/>
          <w:color w:val="auto"/>
          <w:sz w:val="24"/>
          <w:szCs w:val="24"/>
          <w:highlight w:val="none"/>
          <w:lang w:val="en-US" w:eastAsia="zh-CN"/>
        </w:rPr>
        <w:t>的相关规定</w:t>
      </w:r>
      <w:r>
        <w:rPr>
          <w:rFonts w:hint="eastAsia" w:ascii="宋体" w:hAnsi="宋体" w:eastAsia="宋体" w:cs="宋体"/>
          <w:color w:val="auto"/>
          <w:sz w:val="24"/>
          <w:szCs w:val="24"/>
          <w:highlight w:val="none"/>
          <w:lang w:val="en-US" w:eastAsia="zh-CN"/>
        </w:rPr>
        <w:t>，对消防设施设备进行维护保养和检测并有完整的保养、检测记录；</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有设24</w:t>
      </w:r>
      <w:r>
        <w:rPr>
          <w:rFonts w:hint="eastAsia" w:ascii="宋体" w:hAnsi="宋体" w:cs="宋体"/>
          <w:color w:val="auto"/>
          <w:sz w:val="24"/>
          <w:szCs w:val="24"/>
          <w:highlight w:val="none"/>
          <w:lang w:val="en-US" w:eastAsia="zh-CN"/>
        </w:rPr>
        <w:t>h</w:t>
      </w:r>
      <w:r>
        <w:rPr>
          <w:rFonts w:hint="eastAsia" w:ascii="宋体" w:hAnsi="宋体" w:eastAsia="宋体" w:cs="宋体"/>
          <w:color w:val="auto"/>
          <w:sz w:val="24"/>
          <w:szCs w:val="24"/>
          <w:highlight w:val="none"/>
          <w:lang w:val="en-US" w:eastAsia="zh-CN"/>
        </w:rPr>
        <w:t xml:space="preserve">消防报修电话，当消防设施发生故障时，专业维保单位应在法规和合同约定的时间内到达现场维修；发生重大故障时，物业人员应及时采取措施应急处理，专业维修保养人员 30 </w:t>
      </w:r>
      <w:r>
        <w:rPr>
          <w:rFonts w:hint="eastAsia" w:ascii="宋体" w:hAnsi="宋体" w:cs="宋体"/>
          <w:color w:val="auto"/>
          <w:sz w:val="24"/>
          <w:szCs w:val="24"/>
          <w:highlight w:val="none"/>
          <w:lang w:val="en-US" w:eastAsia="zh-CN"/>
        </w:rPr>
        <w:t>min</w:t>
      </w:r>
      <w:r>
        <w:rPr>
          <w:rFonts w:hint="eastAsia" w:ascii="宋体" w:hAnsi="宋体" w:eastAsia="宋体" w:cs="宋体"/>
          <w:color w:val="auto"/>
          <w:sz w:val="24"/>
          <w:szCs w:val="24"/>
          <w:highlight w:val="none"/>
          <w:lang w:val="en-US" w:eastAsia="zh-CN"/>
        </w:rPr>
        <w:t>内到达现场抢修；</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建筑消防设施应每月进行</w:t>
      </w:r>
      <w:r>
        <w:rPr>
          <w:rFonts w:hint="default" w:ascii="Arial" w:hAnsi="Arial" w:eastAsia="宋体" w:cs="Arial"/>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1次专项检查、检测每年</w:t>
      </w:r>
      <w:r>
        <w:rPr>
          <w:rFonts w:hint="default" w:ascii="Arial" w:hAnsi="Arial" w:eastAsia="宋体" w:cs="Arial"/>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1次并有完整的检测记录；</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  </w:t>
      </w:r>
      <w:r>
        <w:rPr>
          <w:rFonts w:hint="eastAsia" w:ascii="宋体" w:hAnsi="宋体" w:cs="宋体"/>
          <w:color w:val="auto"/>
          <w:sz w:val="24"/>
          <w:szCs w:val="24"/>
          <w:highlight w:val="none"/>
          <w:lang w:val="en-US" w:eastAsia="zh-CN"/>
        </w:rPr>
        <w:t>应符合现行国家标准《</w:t>
      </w:r>
      <w:r>
        <w:rPr>
          <w:rFonts w:hint="eastAsia" w:ascii="宋体" w:hAnsi="宋体" w:eastAsia="宋体" w:cs="宋体"/>
          <w:color w:val="auto"/>
          <w:sz w:val="24"/>
          <w:szCs w:val="24"/>
          <w:highlight w:val="none"/>
          <w:lang w:val="en-US" w:eastAsia="zh-CN"/>
        </w:rPr>
        <w:t>建筑消防设施的维护管理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GB 25201</w:t>
      </w:r>
      <w:r>
        <w:rPr>
          <w:rFonts w:hint="eastAsia" w:ascii="宋体" w:hAnsi="宋体" w:cs="宋体"/>
          <w:color w:val="auto"/>
          <w:sz w:val="24"/>
          <w:szCs w:val="24"/>
          <w:highlight w:val="none"/>
          <w:lang w:val="en-US" w:eastAsia="zh-CN"/>
        </w:rPr>
        <w:t>的相关规定</w:t>
      </w:r>
      <w:r>
        <w:rPr>
          <w:rFonts w:hint="eastAsia" w:ascii="宋体" w:hAnsi="宋体" w:eastAsia="宋体" w:cs="宋体"/>
          <w:color w:val="auto"/>
          <w:sz w:val="24"/>
          <w:szCs w:val="24"/>
          <w:highlight w:val="none"/>
          <w:lang w:val="en-US" w:eastAsia="zh-CN"/>
        </w:rPr>
        <w:t>对消防火灾自动报警系统、自动灭火系统、防烟、排烟系统、消火栓系统、消防给水系统等各功能系统按规定巡查、检测和维护保养，确保各系统处于正常工作状态；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  消防各系统巡查每月</w:t>
      </w:r>
      <w:r>
        <w:rPr>
          <w:rFonts w:hint="default" w:ascii="Arial" w:hAnsi="Arial" w:eastAsia="宋体" w:cs="Arial"/>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1次，消防水泵房巡查每天</w:t>
      </w:r>
      <w:r>
        <w:rPr>
          <w:rFonts w:hint="default" w:ascii="Arial" w:hAnsi="Arial" w:eastAsia="宋体" w:cs="Arial"/>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1次，消防水泵每月启动</w:t>
      </w:r>
      <w:r>
        <w:rPr>
          <w:rFonts w:hint="default" w:ascii="Arial" w:hAnsi="Arial" w:eastAsia="宋体" w:cs="Arial"/>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1次，如有异常应马上维修；</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  消防储水设施水量应达到规定水位，能保证消防用水的基本储备，确保火灾险情时的应急灭火用水；</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  灭火器按规范配置，无缺失、无过期；疏散通道、安全出口疏散指示标志醒目、无遮挡；火灾时，疏散指示灯、应急照明应维持</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30</w:t>
      </w:r>
      <w:r>
        <w:rPr>
          <w:rFonts w:hint="eastAsia" w:ascii="宋体" w:hAnsi="宋体" w:cs="宋体"/>
          <w:color w:val="auto"/>
          <w:sz w:val="24"/>
          <w:szCs w:val="24"/>
          <w:highlight w:val="none"/>
          <w:lang w:val="en-US" w:eastAsia="zh-CN"/>
        </w:rPr>
        <w:t xml:space="preserve"> min</w:t>
      </w:r>
      <w:r>
        <w:rPr>
          <w:rFonts w:hint="eastAsia" w:ascii="宋体" w:hAnsi="宋体" w:eastAsia="宋体" w:cs="宋体"/>
          <w:color w:val="auto"/>
          <w:sz w:val="24"/>
          <w:szCs w:val="24"/>
          <w:highlight w:val="none"/>
          <w:lang w:val="en-US" w:eastAsia="zh-CN"/>
        </w:rPr>
        <w:t>以上，超高层建筑维持</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90</w:t>
      </w:r>
      <w:r>
        <w:rPr>
          <w:rFonts w:hint="eastAsia" w:ascii="宋体" w:hAnsi="宋体" w:cs="宋体"/>
          <w:color w:val="auto"/>
          <w:sz w:val="24"/>
          <w:szCs w:val="24"/>
          <w:highlight w:val="none"/>
          <w:lang w:val="en-US" w:eastAsia="zh-CN"/>
        </w:rPr>
        <w:t xml:space="preserve"> min</w:t>
      </w:r>
      <w:r>
        <w:rPr>
          <w:rFonts w:hint="eastAsia" w:ascii="宋体" w:hAnsi="宋体" w:eastAsia="宋体" w:cs="宋体"/>
          <w:color w:val="auto"/>
          <w:sz w:val="24"/>
          <w:szCs w:val="24"/>
          <w:highlight w:val="none"/>
          <w:lang w:val="en-US" w:eastAsia="zh-CN"/>
        </w:rPr>
        <w:t>以上；</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  消火栓每月检查</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次，保持消火栓箱内配件完好并每年定期进行放水试验；</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outlineLvl w:val="0"/>
        <w:rPr>
          <w:rFonts w:hint="eastAsia" w:ascii="宋体" w:hAnsi="宋体" w:eastAsia="宋体" w:cs="宋体"/>
          <w:color w:val="auto"/>
          <w:sz w:val="24"/>
          <w:szCs w:val="24"/>
          <w:highlight w:val="none"/>
          <w:lang w:val="en-US" w:eastAsia="zh-CN"/>
        </w:rPr>
      </w:pPr>
      <w:bookmarkStart w:id="212" w:name="_Toc18635"/>
      <w:r>
        <w:rPr>
          <w:rFonts w:hint="eastAsia" w:ascii="宋体" w:hAnsi="宋体" w:eastAsia="宋体" w:cs="宋体"/>
          <w:color w:val="auto"/>
          <w:sz w:val="24"/>
          <w:szCs w:val="24"/>
          <w:highlight w:val="none"/>
          <w:lang w:val="en-US" w:eastAsia="zh-CN"/>
        </w:rPr>
        <w:t>10  消防安全重点单位每日巡查</w:t>
      </w:r>
      <w:r>
        <w:rPr>
          <w:rFonts w:hint="default" w:ascii="Arial" w:hAnsi="Arial" w:eastAsia="宋体" w:cs="Arial"/>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1次。</w:t>
      </w:r>
      <w:bookmarkEnd w:id="212"/>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9.5.2</w:t>
      </w:r>
      <w:r>
        <w:rPr>
          <w:rFonts w:hint="eastAsia" w:ascii="宋体" w:hAnsi="宋体" w:eastAsia="宋体" w:cs="宋体"/>
          <w:color w:val="auto"/>
          <w:sz w:val="24"/>
          <w:szCs w:val="24"/>
          <w:highlight w:val="none"/>
          <w:lang w:val="en-US" w:eastAsia="zh-CN"/>
        </w:rPr>
        <w:t xml:space="preserve">  对装设电气火灾监控系统的，由厂家或有资质能力的单位进行保养，应定期对各设备传感器、报警器进行（每半年≥1次）全面检查；同时定期对电源线路、开关、继电器等进行预防性维护。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9.5.3</w:t>
      </w:r>
      <w:r>
        <w:rPr>
          <w:rFonts w:hint="eastAsia" w:ascii="宋体" w:hAnsi="宋体" w:eastAsia="宋体" w:cs="宋体"/>
          <w:color w:val="auto"/>
          <w:sz w:val="24"/>
          <w:szCs w:val="24"/>
          <w:highlight w:val="none"/>
          <w:lang w:val="en-US" w:eastAsia="zh-CN"/>
        </w:rPr>
        <w:t xml:space="preserve">  对设置在厨房等部位的燃气探测报警装置要定期巡查，发现气体泄漏，马上按应急预案处置。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9.5.4 </w:t>
      </w:r>
      <w:r>
        <w:rPr>
          <w:rFonts w:hint="eastAsia" w:ascii="宋体" w:hAnsi="宋体" w:eastAsia="宋体" w:cs="宋体"/>
          <w:color w:val="auto"/>
          <w:sz w:val="24"/>
          <w:szCs w:val="24"/>
          <w:highlight w:val="none"/>
          <w:lang w:val="en-US" w:eastAsia="zh-CN"/>
        </w:rPr>
        <w:t xml:space="preserve"> 消防系统巡查维护</w:t>
      </w:r>
      <w:r>
        <w:rPr>
          <w:rFonts w:hint="eastAsia" w:ascii="宋体" w:hAnsi="宋体" w:cs="宋体"/>
          <w:color w:val="auto"/>
          <w:sz w:val="24"/>
          <w:szCs w:val="24"/>
          <w:highlight w:val="none"/>
          <w:lang w:val="en-US" w:eastAsia="zh-CN"/>
        </w:rPr>
        <w:t>应符合现行国家标准《</w:t>
      </w:r>
      <w:r>
        <w:rPr>
          <w:rFonts w:hint="eastAsia" w:ascii="宋体" w:hAnsi="宋体" w:eastAsia="宋体" w:cs="宋体"/>
          <w:color w:val="auto"/>
          <w:sz w:val="24"/>
          <w:szCs w:val="24"/>
          <w:highlight w:val="none"/>
          <w:lang w:val="en-US" w:eastAsia="zh-CN"/>
        </w:rPr>
        <w:t>建筑消防设施的维护管理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GB 25201</w:t>
      </w:r>
      <w:r>
        <w:rPr>
          <w:rFonts w:hint="eastAsia" w:ascii="宋体" w:hAnsi="宋体" w:cs="宋体"/>
          <w:color w:val="auto"/>
          <w:sz w:val="24"/>
          <w:szCs w:val="24"/>
          <w:highlight w:val="none"/>
          <w:lang w:val="en-US" w:eastAsia="zh-CN"/>
        </w:rPr>
        <w:t>的相关规定</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213" w:name="_Toc24417"/>
      <w:r>
        <w:rPr>
          <w:rFonts w:hint="eastAsia" w:ascii="宋体" w:hAnsi="宋体" w:eastAsia="宋体" w:cs="宋体"/>
          <w:b/>
          <w:bCs/>
          <w:color w:val="auto"/>
          <w:sz w:val="24"/>
          <w:szCs w:val="24"/>
          <w:highlight w:val="none"/>
          <w:lang w:val="en-US" w:eastAsia="zh-CN"/>
        </w:rPr>
        <w:t>9.6  建筑物防雷系统</w:t>
      </w:r>
      <w:bookmarkEnd w:id="213"/>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9.6.1 </w:t>
      </w:r>
      <w:r>
        <w:rPr>
          <w:rFonts w:hint="eastAsia" w:ascii="宋体" w:hAnsi="宋体" w:eastAsia="宋体" w:cs="宋体"/>
          <w:color w:val="auto"/>
          <w:sz w:val="24"/>
          <w:szCs w:val="24"/>
          <w:highlight w:val="none"/>
          <w:lang w:val="en-US" w:eastAsia="zh-CN"/>
        </w:rPr>
        <w:t xml:space="preserve"> 建筑物防雷避雷接地系统应由具有资质的机构每年定期进行检测。</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9.6.2 </w:t>
      </w:r>
      <w:r>
        <w:rPr>
          <w:rFonts w:hint="eastAsia" w:ascii="宋体" w:hAnsi="宋体" w:eastAsia="宋体" w:cs="宋体"/>
          <w:color w:val="auto"/>
          <w:sz w:val="24"/>
          <w:szCs w:val="24"/>
          <w:highlight w:val="none"/>
          <w:lang w:val="en-US" w:eastAsia="zh-CN"/>
        </w:rPr>
        <w:t xml:space="preserve"> 物业服务人员应定期对建筑物楼顶层的避雷针、避雷线、避雷带及引下线连接牢固；楼层强、弱电间内的接地检查，服务区域避雷设施接地等防雷与接地系统进行巡查。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auto"/>
          <w:sz w:val="24"/>
          <w:szCs w:val="24"/>
          <w:highlight w:val="none"/>
          <w:lang w:val="en-US" w:eastAsia="zh-CN"/>
        </w:rPr>
      </w:pPr>
      <w:bookmarkStart w:id="214" w:name="_Toc30691"/>
      <w:r>
        <w:rPr>
          <w:rFonts w:hint="eastAsia" w:ascii="Times New Roman" w:hAnsi="Times New Roman" w:eastAsia="宋体" w:cs="Times New Roman"/>
          <w:b/>
          <w:bCs/>
          <w:i w:val="0"/>
          <w:color w:val="auto"/>
          <w:kern w:val="2"/>
          <w:sz w:val="24"/>
          <w:szCs w:val="24"/>
          <w:highlight w:val="none"/>
          <w:lang w:val="en-US" w:eastAsia="zh-CN" w:bidi="ar-SA"/>
        </w:rPr>
        <w:t>9.6.3</w:t>
      </w:r>
      <w:r>
        <w:rPr>
          <w:rFonts w:hint="eastAsia" w:ascii="宋体" w:hAnsi="宋体" w:eastAsia="宋体" w:cs="宋体"/>
          <w:color w:val="auto"/>
          <w:sz w:val="24"/>
          <w:szCs w:val="24"/>
          <w:highlight w:val="none"/>
          <w:lang w:val="en-US" w:eastAsia="zh-CN"/>
        </w:rPr>
        <w:t xml:space="preserve">  建筑物防雷设施巡查要求见表9.6.3。</w:t>
      </w:r>
      <w:bookmarkEnd w:id="214"/>
    </w:p>
    <w:p>
      <w:pPr>
        <w:jc w:val="both"/>
        <w:rPr>
          <w:rFonts w:hint="default" w:ascii="黑体" w:hAnsi="黑体" w:eastAsia="黑体" w:cs="黑体"/>
          <w:color w:val="auto"/>
          <w:highlight w:val="none"/>
          <w:lang w:val="en-US" w:eastAsia="zh-CN"/>
        </w:rPr>
      </w:pPr>
    </w:p>
    <w:p>
      <w:pPr>
        <w:jc w:val="both"/>
        <w:rPr>
          <w:rFonts w:hint="default" w:ascii="黑体" w:hAnsi="黑体" w:eastAsia="黑体" w:cs="黑体"/>
          <w:color w:val="auto"/>
          <w:highlight w:val="none"/>
          <w:lang w:val="en-US" w:eastAsia="zh-CN"/>
        </w:rPr>
      </w:pPr>
    </w:p>
    <w:p>
      <w:pPr>
        <w:pStyle w:val="6"/>
        <w:tabs>
          <w:tab w:val="left" w:pos="420"/>
        </w:tabs>
        <w:spacing w:before="312" w:beforeLines="100" w:after="0" w:line="240" w:lineRule="auto"/>
        <w:jc w:val="center"/>
        <w:outlineLvl w:val="1"/>
        <w:rPr>
          <w:rFonts w:hint="eastAsia" w:ascii="Times New Roman" w:hAnsi="Times New Roman" w:eastAsia="黑体" w:cs="Times New Roman"/>
          <w:bCs w:val="0"/>
          <w:sz w:val="21"/>
          <w:szCs w:val="24"/>
          <w:highlight w:val="none"/>
          <w:lang w:val="en-US" w:eastAsia="zh-CN"/>
        </w:rPr>
      </w:pPr>
      <w:bookmarkStart w:id="215" w:name="_Toc29376"/>
      <w:r>
        <w:rPr>
          <w:rFonts w:hint="eastAsia" w:ascii="Times New Roman" w:hAnsi="Times New Roman" w:eastAsia="黑体" w:cs="Times New Roman"/>
          <w:bCs w:val="0"/>
          <w:sz w:val="21"/>
          <w:szCs w:val="24"/>
          <w:highlight w:val="none"/>
          <w:lang w:val="en-US" w:eastAsia="zh-CN"/>
        </w:rPr>
        <w:t>表9.6.3  项目主要分类服务标准—建筑物防雷设施巡查</w:t>
      </w:r>
      <w:bookmarkEnd w:id="215"/>
    </w:p>
    <w:tbl>
      <w:tblPr>
        <w:tblStyle w:val="38"/>
        <w:tblW w:w="82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38"/>
        <w:gridCol w:w="564"/>
        <w:gridCol w:w="1227"/>
        <w:gridCol w:w="542"/>
        <w:gridCol w:w="1124"/>
        <w:gridCol w:w="542"/>
        <w:gridCol w:w="1260"/>
        <w:gridCol w:w="569"/>
        <w:gridCol w:w="11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38" w:type="dxa"/>
            <w:vMerge w:val="restart"/>
            <w:tcBorders>
              <w:top w:val="single" w:color="000000" w:sz="12"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服务项目</w:t>
            </w:r>
          </w:p>
        </w:tc>
        <w:tc>
          <w:tcPr>
            <w:tcW w:w="1791" w:type="dxa"/>
            <w:gridSpan w:val="2"/>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电力调度大楼</w:t>
            </w:r>
          </w:p>
        </w:tc>
        <w:tc>
          <w:tcPr>
            <w:tcW w:w="1666" w:type="dxa"/>
            <w:gridSpan w:val="2"/>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发电厂</w:t>
            </w:r>
          </w:p>
        </w:tc>
        <w:tc>
          <w:tcPr>
            <w:tcW w:w="1802" w:type="dxa"/>
            <w:gridSpan w:val="2"/>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换流站、变电站</w:t>
            </w:r>
          </w:p>
        </w:tc>
        <w:tc>
          <w:tcPr>
            <w:tcW w:w="1680" w:type="dxa"/>
            <w:gridSpan w:val="2"/>
            <w:tcBorders>
              <w:top w:val="single" w:color="000000" w:sz="12" w:space="0"/>
              <w:left w:val="single" w:color="000000" w:sz="4" w:space="0"/>
              <w:bottom w:val="single" w:color="000000" w:sz="4" w:space="0"/>
              <w:right w:val="single" w:color="000000" w:sz="12"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仓储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1338" w:type="dxa"/>
            <w:vMerge w:val="continue"/>
            <w:tcBorders>
              <w:top w:val="single" w:color="000000" w:sz="4" w:space="0"/>
              <w:left w:val="single" w:color="000000" w:sz="12" w:space="0"/>
              <w:bottom w:val="single" w:color="000000" w:sz="12"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c>
          <w:tcPr>
            <w:tcW w:w="564"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频次</w:t>
            </w:r>
          </w:p>
        </w:tc>
        <w:tc>
          <w:tcPr>
            <w:tcW w:w="1227"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服务标准</w:t>
            </w:r>
          </w:p>
        </w:tc>
        <w:tc>
          <w:tcPr>
            <w:tcW w:w="542"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频次</w:t>
            </w:r>
          </w:p>
        </w:tc>
        <w:tc>
          <w:tcPr>
            <w:tcW w:w="1124"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服务标准</w:t>
            </w:r>
          </w:p>
        </w:tc>
        <w:tc>
          <w:tcPr>
            <w:tcW w:w="542"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频次</w:t>
            </w:r>
          </w:p>
        </w:tc>
        <w:tc>
          <w:tcPr>
            <w:tcW w:w="1260"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服务标准</w:t>
            </w:r>
          </w:p>
        </w:tc>
        <w:tc>
          <w:tcPr>
            <w:tcW w:w="569" w:type="dxa"/>
            <w:tcBorders>
              <w:top w:val="single" w:color="000000" w:sz="4" w:space="0"/>
              <w:left w:val="single" w:color="000000" w:sz="4" w:space="0"/>
              <w:bottom w:val="single" w:color="000000" w:sz="12"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频次</w:t>
            </w:r>
          </w:p>
        </w:tc>
        <w:tc>
          <w:tcPr>
            <w:tcW w:w="1111" w:type="dxa"/>
            <w:tcBorders>
              <w:top w:val="single" w:color="000000" w:sz="4" w:space="0"/>
              <w:left w:val="single" w:color="000000" w:sz="4" w:space="0"/>
              <w:bottom w:val="single" w:color="000000" w:sz="12" w:space="0"/>
              <w:right w:val="single" w:color="000000" w:sz="12"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服务标准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jc w:val="center"/>
        </w:trPr>
        <w:tc>
          <w:tcPr>
            <w:tcW w:w="1338" w:type="dxa"/>
            <w:tcBorders>
              <w:top w:val="single" w:color="000000" w:sz="12" w:space="0"/>
              <w:left w:val="single" w:color="000000" w:sz="12" w:space="0"/>
              <w:bottom w:val="single" w:color="000000" w:sz="12" w:space="0"/>
              <w:right w:val="single" w:color="000000" w:sz="4" w:space="0"/>
            </w:tcBorders>
            <w:noWrap/>
            <w:vAlign w:val="center"/>
          </w:tcPr>
          <w:p>
            <w:pPr>
              <w:keepNext w:val="0"/>
              <w:keepLines w:val="0"/>
              <w:widowControl/>
              <w:suppressLineNumbers w:val="0"/>
              <w:jc w:val="left"/>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bidi="ar"/>
              </w:rPr>
              <w:t xml:space="preserve">避雷带、避雷针、避雷线巡查 </w:t>
            </w:r>
          </w:p>
        </w:tc>
        <w:tc>
          <w:tcPr>
            <w:tcW w:w="564" w:type="dxa"/>
            <w:tcBorders>
              <w:top w:val="single" w:color="000000" w:sz="12" w:space="0"/>
              <w:left w:val="single" w:color="000000" w:sz="4" w:space="0"/>
              <w:bottom w:val="single" w:color="000000" w:sz="12" w:space="0"/>
              <w:right w:val="single" w:color="000000" w:sz="4" w:space="0"/>
            </w:tcBorders>
            <w:noWrap/>
            <w:vAlign w:val="center"/>
          </w:tcPr>
          <w:p>
            <w:pPr>
              <w:keepNext w:val="0"/>
              <w:keepLines w:val="0"/>
              <w:widowControl/>
              <w:suppressLineNumbers w:val="0"/>
              <w:jc w:val="left"/>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2"/>
                <w:sz w:val="18"/>
                <w:szCs w:val="18"/>
                <w:highlight w:val="none"/>
                <w:u w:val="none"/>
                <w:lang w:val="en-US" w:eastAsia="zh-CN" w:bidi="ar-SA"/>
              </w:rPr>
              <w:t>2</w:t>
            </w:r>
            <w:r>
              <w:rPr>
                <w:rFonts w:hint="eastAsia" w:ascii="宋体" w:hAnsi="宋体" w:eastAsia="宋体" w:cs="宋体"/>
                <w:i w:val="0"/>
                <w:iCs w:val="0"/>
                <w:color w:val="auto"/>
                <w:kern w:val="2"/>
                <w:sz w:val="18"/>
                <w:szCs w:val="18"/>
                <w:highlight w:val="none"/>
                <w:u w:val="none"/>
                <w:lang w:val="en-US" w:eastAsia="zh-CN" w:bidi="ar-SA"/>
              </w:rPr>
              <w:t xml:space="preserve"> 次/</w:t>
            </w:r>
            <w:r>
              <w:rPr>
                <w:rFonts w:hint="eastAsia" w:ascii="宋体" w:hAnsi="宋体" w:cs="宋体"/>
                <w:i w:val="0"/>
                <w:iCs w:val="0"/>
                <w:color w:val="auto"/>
                <w:kern w:val="2"/>
                <w:sz w:val="18"/>
                <w:szCs w:val="18"/>
                <w:highlight w:val="none"/>
                <w:u w:val="none"/>
                <w:lang w:val="en-US" w:eastAsia="zh-CN" w:bidi="ar-SA"/>
              </w:rPr>
              <w:t>年</w:t>
            </w:r>
          </w:p>
          <w:p>
            <w:pPr>
              <w:keepNext w:val="0"/>
              <w:keepLines w:val="0"/>
              <w:widowControl/>
              <w:suppressLineNumbers w:val="0"/>
              <w:jc w:val="left"/>
              <w:rPr>
                <w:rFonts w:hint="eastAsia" w:ascii="宋体" w:hAnsi="宋体" w:eastAsia="宋体" w:cs="宋体"/>
                <w:i w:val="0"/>
                <w:iCs w:val="0"/>
                <w:color w:val="auto"/>
                <w:kern w:val="2"/>
                <w:sz w:val="18"/>
                <w:szCs w:val="18"/>
                <w:highlight w:val="none"/>
                <w:u w:val="none"/>
                <w:lang w:val="en-US" w:eastAsia="zh-CN" w:bidi="ar-SA"/>
              </w:rPr>
            </w:pPr>
          </w:p>
        </w:tc>
        <w:tc>
          <w:tcPr>
            <w:tcW w:w="1227" w:type="dxa"/>
            <w:tcBorders>
              <w:top w:val="single" w:color="000000" w:sz="12" w:space="0"/>
              <w:left w:val="single" w:color="000000" w:sz="4" w:space="0"/>
              <w:bottom w:val="single" w:color="000000" w:sz="12" w:space="0"/>
              <w:right w:val="single" w:color="000000" w:sz="4" w:space="0"/>
            </w:tcBorders>
            <w:noWrap/>
            <w:vAlign w:val="center"/>
          </w:tcPr>
          <w:p>
            <w:pPr>
              <w:keepNext w:val="0"/>
              <w:keepLines w:val="0"/>
              <w:widowControl/>
              <w:suppressLineNumbers w:val="0"/>
              <w:jc w:val="left"/>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连接牢固，无松动、脱落、生锈现象</w:t>
            </w:r>
          </w:p>
        </w:tc>
        <w:tc>
          <w:tcPr>
            <w:tcW w:w="542" w:type="dxa"/>
            <w:tcBorders>
              <w:top w:val="single" w:color="000000" w:sz="12" w:space="0"/>
              <w:left w:val="single" w:color="000000" w:sz="4" w:space="0"/>
              <w:bottom w:val="single" w:color="000000" w:sz="12" w:space="0"/>
              <w:right w:val="single" w:color="000000" w:sz="4" w:space="0"/>
            </w:tcBorders>
            <w:noWrap/>
            <w:vAlign w:val="center"/>
          </w:tcPr>
          <w:p>
            <w:pPr>
              <w:keepNext w:val="0"/>
              <w:keepLines w:val="0"/>
              <w:widowControl/>
              <w:suppressLineNumbers w:val="0"/>
              <w:jc w:val="left"/>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2"/>
                <w:sz w:val="18"/>
                <w:szCs w:val="18"/>
                <w:highlight w:val="none"/>
                <w:u w:val="none"/>
                <w:lang w:val="en-US" w:eastAsia="zh-CN" w:bidi="ar-SA"/>
              </w:rPr>
              <w:t>2</w:t>
            </w:r>
            <w:r>
              <w:rPr>
                <w:rFonts w:hint="eastAsia" w:ascii="宋体" w:hAnsi="宋体" w:eastAsia="宋体" w:cs="宋体"/>
                <w:i w:val="0"/>
                <w:iCs w:val="0"/>
                <w:color w:val="auto"/>
                <w:kern w:val="2"/>
                <w:sz w:val="18"/>
                <w:szCs w:val="18"/>
                <w:highlight w:val="none"/>
                <w:u w:val="none"/>
                <w:lang w:val="en-US" w:eastAsia="zh-CN" w:bidi="ar-SA"/>
              </w:rPr>
              <w:t xml:space="preserve"> 次/</w:t>
            </w:r>
            <w:r>
              <w:rPr>
                <w:rFonts w:hint="eastAsia" w:ascii="宋体" w:hAnsi="宋体" w:cs="宋体"/>
                <w:i w:val="0"/>
                <w:iCs w:val="0"/>
                <w:color w:val="auto"/>
                <w:kern w:val="2"/>
                <w:sz w:val="18"/>
                <w:szCs w:val="18"/>
                <w:highlight w:val="none"/>
                <w:u w:val="none"/>
                <w:lang w:val="en-US" w:eastAsia="zh-CN" w:bidi="ar-SA"/>
              </w:rPr>
              <w:t>年</w:t>
            </w:r>
          </w:p>
          <w:p>
            <w:pPr>
              <w:keepNext w:val="0"/>
              <w:keepLines w:val="0"/>
              <w:widowControl/>
              <w:suppressLineNumbers w:val="0"/>
              <w:jc w:val="left"/>
              <w:rPr>
                <w:rFonts w:hint="eastAsia" w:ascii="宋体" w:hAnsi="宋体" w:eastAsia="宋体" w:cs="宋体"/>
                <w:i w:val="0"/>
                <w:iCs w:val="0"/>
                <w:color w:val="auto"/>
                <w:kern w:val="2"/>
                <w:sz w:val="18"/>
                <w:szCs w:val="18"/>
                <w:highlight w:val="none"/>
                <w:u w:val="none"/>
                <w:lang w:val="en-US" w:eastAsia="zh-CN" w:bidi="ar-SA"/>
              </w:rPr>
            </w:pPr>
          </w:p>
        </w:tc>
        <w:tc>
          <w:tcPr>
            <w:tcW w:w="1124" w:type="dxa"/>
            <w:tcBorders>
              <w:top w:val="single" w:color="000000" w:sz="12" w:space="0"/>
              <w:left w:val="single" w:color="000000" w:sz="4" w:space="0"/>
              <w:bottom w:val="single" w:color="000000" w:sz="12" w:space="0"/>
              <w:right w:val="single" w:color="000000" w:sz="4" w:space="0"/>
            </w:tcBorders>
            <w:noWrap/>
            <w:vAlign w:val="center"/>
          </w:tcPr>
          <w:p>
            <w:pPr>
              <w:keepNext w:val="0"/>
              <w:keepLines w:val="0"/>
              <w:widowControl/>
              <w:suppressLineNumbers w:val="0"/>
              <w:jc w:val="left"/>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连接牢固，无松动、脱落、生锈现象</w:t>
            </w:r>
          </w:p>
        </w:tc>
        <w:tc>
          <w:tcPr>
            <w:tcW w:w="542" w:type="dxa"/>
            <w:tcBorders>
              <w:top w:val="single" w:color="000000" w:sz="12" w:space="0"/>
              <w:left w:val="single" w:color="000000" w:sz="4" w:space="0"/>
              <w:bottom w:val="single" w:color="000000" w:sz="12" w:space="0"/>
              <w:right w:val="single" w:color="000000" w:sz="4" w:space="0"/>
            </w:tcBorders>
            <w:noWrap/>
            <w:vAlign w:val="center"/>
          </w:tcPr>
          <w:p>
            <w:pPr>
              <w:keepNext w:val="0"/>
              <w:keepLines w:val="0"/>
              <w:widowControl/>
              <w:suppressLineNumbers w:val="0"/>
              <w:jc w:val="left"/>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2"/>
                <w:sz w:val="18"/>
                <w:szCs w:val="18"/>
                <w:highlight w:val="none"/>
                <w:u w:val="none"/>
                <w:lang w:val="en-US" w:eastAsia="zh-CN" w:bidi="ar-SA"/>
              </w:rPr>
              <w:t>2</w:t>
            </w:r>
            <w:r>
              <w:rPr>
                <w:rFonts w:hint="eastAsia" w:ascii="宋体" w:hAnsi="宋体" w:eastAsia="宋体" w:cs="宋体"/>
                <w:i w:val="0"/>
                <w:iCs w:val="0"/>
                <w:color w:val="auto"/>
                <w:kern w:val="2"/>
                <w:sz w:val="18"/>
                <w:szCs w:val="18"/>
                <w:highlight w:val="none"/>
                <w:u w:val="none"/>
                <w:lang w:val="en-US" w:eastAsia="zh-CN" w:bidi="ar-SA"/>
              </w:rPr>
              <w:t xml:space="preserve"> 次/</w:t>
            </w:r>
            <w:r>
              <w:rPr>
                <w:rFonts w:hint="eastAsia" w:ascii="宋体" w:hAnsi="宋体" w:cs="宋体"/>
                <w:i w:val="0"/>
                <w:iCs w:val="0"/>
                <w:color w:val="auto"/>
                <w:kern w:val="2"/>
                <w:sz w:val="18"/>
                <w:szCs w:val="18"/>
                <w:highlight w:val="none"/>
                <w:u w:val="none"/>
                <w:lang w:val="en-US" w:eastAsia="zh-CN" w:bidi="ar-SA"/>
              </w:rPr>
              <w:t>年</w:t>
            </w:r>
          </w:p>
          <w:p>
            <w:pPr>
              <w:keepNext w:val="0"/>
              <w:keepLines w:val="0"/>
              <w:widowControl/>
              <w:suppressLineNumbers w:val="0"/>
              <w:jc w:val="left"/>
              <w:rPr>
                <w:rFonts w:hint="eastAsia" w:ascii="宋体" w:hAnsi="宋体" w:eastAsia="宋体" w:cs="宋体"/>
                <w:i w:val="0"/>
                <w:iCs w:val="0"/>
                <w:color w:val="auto"/>
                <w:kern w:val="2"/>
                <w:sz w:val="18"/>
                <w:szCs w:val="18"/>
                <w:highlight w:val="none"/>
                <w:u w:val="none"/>
                <w:lang w:val="en-US" w:eastAsia="zh-CN" w:bidi="ar-SA"/>
              </w:rPr>
            </w:pPr>
          </w:p>
        </w:tc>
        <w:tc>
          <w:tcPr>
            <w:tcW w:w="1260" w:type="dxa"/>
            <w:tcBorders>
              <w:top w:val="single" w:color="000000" w:sz="12" w:space="0"/>
              <w:left w:val="single" w:color="000000" w:sz="4" w:space="0"/>
              <w:bottom w:val="single" w:color="000000" w:sz="12" w:space="0"/>
              <w:right w:val="single" w:color="000000" w:sz="4" w:space="0"/>
            </w:tcBorders>
            <w:noWrap/>
            <w:vAlign w:val="center"/>
          </w:tcPr>
          <w:p>
            <w:pPr>
              <w:keepNext w:val="0"/>
              <w:keepLines w:val="0"/>
              <w:widowControl/>
              <w:suppressLineNumbers w:val="0"/>
              <w:jc w:val="left"/>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bidi="ar"/>
              </w:rPr>
              <w:t>连接牢固，无松动、脱落、生锈现象</w:t>
            </w:r>
          </w:p>
        </w:tc>
        <w:tc>
          <w:tcPr>
            <w:tcW w:w="569" w:type="dxa"/>
            <w:tcBorders>
              <w:top w:val="single" w:color="000000" w:sz="12" w:space="0"/>
              <w:left w:val="single" w:color="000000" w:sz="4" w:space="0"/>
              <w:bottom w:val="single" w:color="000000" w:sz="12" w:space="0"/>
              <w:right w:val="single" w:color="000000" w:sz="4" w:space="0"/>
            </w:tcBorders>
            <w:noWrap/>
            <w:vAlign w:val="center"/>
          </w:tcPr>
          <w:p>
            <w:pPr>
              <w:keepNext w:val="0"/>
              <w:keepLines w:val="0"/>
              <w:widowControl/>
              <w:suppressLineNumbers w:val="0"/>
              <w:jc w:val="left"/>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2"/>
                <w:sz w:val="18"/>
                <w:szCs w:val="18"/>
                <w:highlight w:val="none"/>
                <w:u w:val="none"/>
                <w:lang w:val="en-US" w:eastAsia="zh-CN" w:bidi="ar-SA"/>
              </w:rPr>
              <w:t>2</w:t>
            </w:r>
            <w:r>
              <w:rPr>
                <w:rFonts w:hint="eastAsia" w:ascii="宋体" w:hAnsi="宋体" w:eastAsia="宋体" w:cs="宋体"/>
                <w:i w:val="0"/>
                <w:iCs w:val="0"/>
                <w:color w:val="auto"/>
                <w:kern w:val="2"/>
                <w:sz w:val="18"/>
                <w:szCs w:val="18"/>
                <w:highlight w:val="none"/>
                <w:u w:val="none"/>
                <w:lang w:val="en-US" w:eastAsia="zh-CN" w:bidi="ar-SA"/>
              </w:rPr>
              <w:t xml:space="preserve"> 次/</w:t>
            </w:r>
            <w:r>
              <w:rPr>
                <w:rFonts w:hint="eastAsia" w:ascii="宋体" w:hAnsi="宋体" w:cs="宋体"/>
                <w:i w:val="0"/>
                <w:iCs w:val="0"/>
                <w:color w:val="auto"/>
                <w:kern w:val="2"/>
                <w:sz w:val="18"/>
                <w:szCs w:val="18"/>
                <w:highlight w:val="none"/>
                <w:u w:val="none"/>
                <w:lang w:val="en-US" w:eastAsia="zh-CN" w:bidi="ar-SA"/>
              </w:rPr>
              <w:t>年</w:t>
            </w:r>
          </w:p>
          <w:p>
            <w:pPr>
              <w:keepNext w:val="0"/>
              <w:keepLines w:val="0"/>
              <w:widowControl/>
              <w:suppressLineNumbers w:val="0"/>
              <w:jc w:val="left"/>
              <w:rPr>
                <w:rFonts w:hint="eastAsia" w:ascii="宋体" w:hAnsi="宋体" w:eastAsia="宋体" w:cs="宋体"/>
                <w:i w:val="0"/>
                <w:iCs w:val="0"/>
                <w:color w:val="auto"/>
                <w:kern w:val="2"/>
                <w:sz w:val="18"/>
                <w:szCs w:val="18"/>
                <w:highlight w:val="none"/>
                <w:u w:val="none"/>
                <w:lang w:val="en-US" w:eastAsia="zh-CN" w:bidi="ar-SA"/>
              </w:rPr>
            </w:pPr>
          </w:p>
        </w:tc>
        <w:tc>
          <w:tcPr>
            <w:tcW w:w="1111" w:type="dxa"/>
            <w:tcBorders>
              <w:top w:val="single" w:color="000000" w:sz="12" w:space="0"/>
              <w:left w:val="single" w:color="000000" w:sz="4" w:space="0"/>
              <w:bottom w:val="single" w:color="000000" w:sz="12" w:space="0"/>
              <w:right w:val="single" w:color="000000" w:sz="12" w:space="0"/>
            </w:tcBorders>
            <w:noWrap/>
            <w:vAlign w:val="center"/>
          </w:tcPr>
          <w:p>
            <w:pPr>
              <w:keepNext w:val="0"/>
              <w:keepLines w:val="0"/>
              <w:widowControl/>
              <w:suppressLineNumbers w:val="0"/>
              <w:jc w:val="left"/>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bidi="ar"/>
              </w:rPr>
              <w:t>连接牢固，无松动、脱落、生锈现象</w:t>
            </w:r>
          </w:p>
        </w:tc>
      </w:tr>
    </w:tbl>
    <w:p>
      <w:pPr>
        <w:pStyle w:val="63"/>
        <w:keepNext w:val="0"/>
        <w:keepLines w:val="0"/>
        <w:pageBreakBefore w:val="0"/>
        <w:widowControl/>
        <w:numPr>
          <w:ilvl w:val="2"/>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黑体" w:hAnsi="黑体" w:eastAsia="黑体" w:cs="黑体"/>
          <w:b w:val="0"/>
          <w:i w:val="0"/>
          <w:color w:val="auto"/>
          <w:sz w:val="21"/>
          <w:szCs w:val="21"/>
          <w:highlight w:val="none"/>
          <w:lang w:val="en-US" w:eastAsia="zh-CN" w:bidi="ar-SA"/>
        </w:rPr>
      </w:pPr>
      <w:bookmarkStart w:id="216" w:name="_Toc30588"/>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217" w:name="_Toc26992"/>
      <w:r>
        <w:rPr>
          <w:rFonts w:hint="eastAsia" w:ascii="宋体" w:hAnsi="宋体" w:eastAsia="宋体" w:cs="宋体"/>
          <w:b/>
          <w:bCs/>
          <w:color w:val="auto"/>
          <w:sz w:val="24"/>
          <w:szCs w:val="24"/>
          <w:highlight w:val="none"/>
          <w:lang w:val="en-US" w:eastAsia="zh-CN"/>
        </w:rPr>
        <w:t>9.7  安全技术防范与多媒体系统</w:t>
      </w:r>
      <w:bookmarkEnd w:id="216"/>
      <w:bookmarkEnd w:id="21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color w:val="auto"/>
          <w:kern w:val="0"/>
          <w:sz w:val="24"/>
          <w:szCs w:val="24"/>
          <w:highlight w:val="none"/>
          <w:lang w:val="en-US" w:eastAsia="zh-CN" w:bidi="ar"/>
        </w:rPr>
      </w:pPr>
      <w:r>
        <w:rPr>
          <w:rFonts w:hint="eastAsia" w:ascii="Times New Roman" w:hAnsi="Times New Roman" w:eastAsia="宋体" w:cs="Times New Roman"/>
          <w:b/>
          <w:bCs/>
          <w:i w:val="0"/>
          <w:color w:val="auto"/>
          <w:kern w:val="2"/>
          <w:sz w:val="24"/>
          <w:szCs w:val="24"/>
          <w:highlight w:val="none"/>
          <w:lang w:val="en-US" w:eastAsia="zh-CN" w:bidi="ar-SA"/>
        </w:rPr>
        <w:t>9.7.1</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
        </w:rPr>
        <w:t>建立</w:t>
      </w:r>
      <w:r>
        <w:rPr>
          <w:rFonts w:hint="eastAsia" w:ascii="宋体" w:hAnsi="宋体" w:eastAsia="宋体" w:cs="宋体"/>
          <w:color w:val="auto"/>
          <w:sz w:val="24"/>
          <w:szCs w:val="24"/>
          <w:highlight w:val="none"/>
        </w:rPr>
        <w:t>安全技术防范</w:t>
      </w:r>
      <w:r>
        <w:rPr>
          <w:rFonts w:hint="eastAsia" w:ascii="宋体" w:hAnsi="宋体" w:eastAsia="宋体" w:cs="宋体"/>
          <w:color w:val="auto"/>
          <w:sz w:val="24"/>
          <w:szCs w:val="24"/>
          <w:highlight w:val="none"/>
          <w:lang w:val="en-US" w:eastAsia="zh-CN" w:bidi="ar-SA"/>
        </w:rPr>
        <w:t>与多媒体</w:t>
      </w:r>
      <w:r>
        <w:rPr>
          <w:rFonts w:hint="eastAsia" w:ascii="宋体" w:hAnsi="宋体" w:eastAsia="宋体" w:cs="宋体"/>
          <w:color w:val="auto"/>
          <w:sz w:val="24"/>
          <w:szCs w:val="24"/>
          <w:highlight w:val="none"/>
        </w:rPr>
        <w:t>系统</w:t>
      </w:r>
      <w:r>
        <w:rPr>
          <w:rFonts w:hint="eastAsia" w:ascii="宋体" w:hAnsi="宋体" w:eastAsia="宋体" w:cs="宋体"/>
          <w:color w:val="auto"/>
          <w:kern w:val="0"/>
          <w:sz w:val="24"/>
          <w:szCs w:val="24"/>
          <w:highlight w:val="none"/>
          <w:lang w:val="en-US" w:eastAsia="zh-CN" w:bidi="ar"/>
        </w:rPr>
        <w:t>设施设备管理制度。针对门禁、视频安防、入侵报警、车场管理、出入口控制</w:t>
      </w:r>
      <w:r>
        <w:rPr>
          <w:rFonts w:hint="eastAsia" w:ascii="宋体" w:hAnsi="宋体" w:eastAsia="宋体" w:cs="宋体"/>
          <w:color w:val="auto"/>
          <w:sz w:val="24"/>
          <w:szCs w:val="24"/>
          <w:highlight w:val="none"/>
          <w:lang w:val="en-US" w:eastAsia="zh-CN" w:bidi="ar-SA"/>
        </w:rPr>
        <w:t>与多媒体</w:t>
      </w:r>
      <w:r>
        <w:rPr>
          <w:rFonts w:hint="eastAsia" w:ascii="宋体" w:hAnsi="宋体" w:eastAsia="宋体" w:cs="宋体"/>
          <w:color w:val="auto"/>
          <w:kern w:val="0"/>
          <w:sz w:val="24"/>
          <w:szCs w:val="24"/>
          <w:highlight w:val="none"/>
          <w:lang w:val="en-US" w:eastAsia="zh-CN" w:bidi="ar"/>
        </w:rPr>
        <w:t>等系统，与具有资质或能力的供应商签订维护保养合同并建立厂家供应商管理制度，合同内约定好定期保养及故障应急响应时效以及重大活动的保障等内容。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color w:val="auto"/>
          <w:kern w:val="0"/>
          <w:sz w:val="24"/>
          <w:szCs w:val="24"/>
          <w:highlight w:val="none"/>
          <w:lang w:val="en-US" w:eastAsia="zh-CN" w:bidi="ar"/>
        </w:rPr>
      </w:pPr>
      <w:r>
        <w:rPr>
          <w:rFonts w:hint="eastAsia" w:ascii="Times New Roman" w:hAnsi="Times New Roman" w:eastAsia="宋体" w:cs="Times New Roman"/>
          <w:b/>
          <w:bCs/>
          <w:i w:val="0"/>
          <w:color w:val="auto"/>
          <w:kern w:val="2"/>
          <w:sz w:val="24"/>
          <w:szCs w:val="24"/>
          <w:highlight w:val="none"/>
          <w:lang w:val="en-US" w:eastAsia="zh-CN" w:bidi="ar-SA"/>
        </w:rPr>
        <w:t xml:space="preserve">9.7.2 </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
        </w:rPr>
        <w:t>根据各种类型设备由相关责任人进行管理，每日定期巡检设备运行工作，如有异常，应马上报供应商处理并记录归档。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9.7.3 </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
        </w:rPr>
        <w:t>对各系统的运行数据应进行定期收集，优化设备运行参数，规范记录备份归档。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left"/>
        <w:textAlignment w:val="auto"/>
        <w:outlineLvl w:val="2"/>
        <w:rPr>
          <w:rFonts w:hint="eastAsia" w:ascii="宋体" w:hAnsi="宋体" w:eastAsia="宋体" w:cs="宋体"/>
          <w:color w:val="auto"/>
          <w:sz w:val="24"/>
          <w:szCs w:val="24"/>
          <w:highlight w:val="none"/>
          <w:lang w:val="en-US" w:eastAsia="zh-CN"/>
        </w:rPr>
      </w:pPr>
      <w:bookmarkStart w:id="218" w:name="_Toc29237"/>
      <w:r>
        <w:rPr>
          <w:rFonts w:hint="eastAsia" w:ascii="Times New Roman" w:hAnsi="Times New Roman" w:eastAsia="宋体" w:cs="Times New Roman"/>
          <w:b/>
          <w:bCs/>
          <w:i w:val="0"/>
          <w:color w:val="auto"/>
          <w:kern w:val="2"/>
          <w:sz w:val="24"/>
          <w:szCs w:val="24"/>
          <w:highlight w:val="none"/>
          <w:lang w:val="en-US" w:eastAsia="zh-CN" w:bidi="ar-SA"/>
        </w:rPr>
        <w:t>9.7.4</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
        </w:rPr>
        <w:t>安全技术防范</w:t>
      </w:r>
      <w:r>
        <w:rPr>
          <w:rFonts w:hint="eastAsia" w:ascii="宋体" w:hAnsi="宋体" w:eastAsia="宋体" w:cs="宋体"/>
          <w:color w:val="auto"/>
          <w:sz w:val="24"/>
          <w:szCs w:val="24"/>
          <w:highlight w:val="none"/>
          <w:lang w:val="en-US" w:eastAsia="zh-CN" w:bidi="ar-SA"/>
        </w:rPr>
        <w:t>与多媒体</w:t>
      </w:r>
      <w:r>
        <w:rPr>
          <w:rFonts w:hint="eastAsia" w:ascii="宋体" w:hAnsi="宋体" w:eastAsia="宋体" w:cs="宋体"/>
          <w:color w:val="auto"/>
          <w:kern w:val="0"/>
          <w:sz w:val="24"/>
          <w:szCs w:val="24"/>
          <w:highlight w:val="none"/>
          <w:lang w:val="en-US" w:eastAsia="zh-CN" w:bidi="ar"/>
        </w:rPr>
        <w:t>系统巡查维护要求见附录C。</w:t>
      </w:r>
      <w:bookmarkEnd w:id="218"/>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219" w:name="_Toc26968"/>
      <w:bookmarkStart w:id="220" w:name="_Toc10992"/>
      <w:r>
        <w:rPr>
          <w:rFonts w:hint="eastAsia" w:ascii="宋体" w:hAnsi="宋体" w:eastAsia="宋体" w:cs="宋体"/>
          <w:b/>
          <w:bCs/>
          <w:color w:val="auto"/>
          <w:sz w:val="24"/>
          <w:szCs w:val="24"/>
          <w:highlight w:val="none"/>
          <w:lang w:val="en-US" w:eastAsia="zh-CN"/>
        </w:rPr>
        <w:t>9.8  公共及生产区照明系统</w:t>
      </w:r>
      <w:bookmarkEnd w:id="219"/>
      <w:bookmarkEnd w:id="22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9.8.1 </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
        </w:rPr>
        <w:t>应建立健全的公共</w:t>
      </w:r>
      <w:r>
        <w:rPr>
          <w:rFonts w:hint="eastAsia" w:ascii="宋体" w:hAnsi="宋体" w:eastAsia="宋体" w:cs="宋体"/>
          <w:b w:val="0"/>
          <w:bCs w:val="0"/>
          <w:color w:val="auto"/>
          <w:kern w:val="0"/>
          <w:sz w:val="24"/>
          <w:szCs w:val="24"/>
          <w:highlight w:val="none"/>
          <w:lang w:val="en-US" w:eastAsia="zh-CN" w:bidi="ar"/>
        </w:rPr>
        <w:t>及生产区</w:t>
      </w:r>
      <w:r>
        <w:rPr>
          <w:rFonts w:hint="eastAsia" w:ascii="宋体" w:hAnsi="宋体" w:eastAsia="宋体" w:cs="宋体"/>
          <w:color w:val="auto"/>
          <w:kern w:val="0"/>
          <w:sz w:val="24"/>
          <w:szCs w:val="24"/>
          <w:highlight w:val="none"/>
          <w:lang w:val="en-US" w:eastAsia="zh-CN" w:bidi="ar"/>
        </w:rPr>
        <w:t>照明管理制度，应包括但不限于：运行、保养、节能等。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9.8.2 </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应制定年度/月度照明维护保养计划。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9.8.3 </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对公共路灯每周</w:t>
      </w:r>
      <w:r>
        <w:rPr>
          <w:rFonts w:hint="default" w:ascii="Arial" w:hAnsi="Arial" w:eastAsia="宋体" w:cs="Arial"/>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1次的巡查，确保路灯照明正常。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9.8.4</w:t>
      </w:r>
      <w:r>
        <w:rPr>
          <w:rFonts w:hint="eastAsia" w:ascii="宋体" w:hAnsi="宋体" w:eastAsia="宋体" w:cs="宋体"/>
          <w:b w:val="0"/>
          <w:i w:val="0"/>
          <w:color w:val="auto"/>
          <w:kern w:val="2"/>
          <w:sz w:val="24"/>
          <w:szCs w:val="24"/>
          <w:highlight w:val="none"/>
          <w:lang w:val="en-US" w:eastAsia="zh-CN" w:bidi="ar-SA"/>
        </w:rPr>
        <w:t xml:space="preserve"> </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对生产/办公区内的照明配电箱及灯具每周≥1次巡查，确保生产/办公照明正常。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9.8.5</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rPr>
        <w:t>对照明配电箱每季度进行</w:t>
      </w:r>
      <w:r>
        <w:rPr>
          <w:rFonts w:hint="default" w:ascii="Arial" w:hAnsi="Arial" w:eastAsia="宋体" w:cs="Arial"/>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次</w:t>
      </w:r>
      <w:r>
        <w:rPr>
          <w:rFonts w:hint="eastAsia" w:ascii="宋体" w:hAnsi="宋体" w:eastAsia="宋体" w:cs="宋体"/>
          <w:color w:val="auto"/>
          <w:sz w:val="24"/>
          <w:szCs w:val="24"/>
          <w:highlight w:val="none"/>
          <w:lang w:val="en-US" w:eastAsia="zh-CN"/>
        </w:rPr>
        <w:t>巡查和清</w:t>
      </w:r>
      <w:r>
        <w:rPr>
          <w:rFonts w:hint="eastAsia" w:ascii="宋体" w:hAnsi="宋体" w:eastAsia="宋体" w:cs="宋体"/>
          <w:color w:val="auto"/>
          <w:sz w:val="24"/>
          <w:szCs w:val="24"/>
          <w:highlight w:val="none"/>
        </w:rPr>
        <w:t>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是否</w:t>
      </w:r>
      <w:r>
        <w:rPr>
          <w:rFonts w:hint="eastAsia" w:ascii="宋体" w:hAnsi="宋体" w:eastAsia="宋体" w:cs="宋体"/>
          <w:color w:val="auto"/>
          <w:sz w:val="24"/>
          <w:szCs w:val="24"/>
          <w:highlight w:val="none"/>
          <w:lang w:val="en-US" w:eastAsia="zh-CN"/>
        </w:rPr>
        <w:t>有</w:t>
      </w:r>
      <w:r>
        <w:rPr>
          <w:rFonts w:hint="eastAsia" w:ascii="宋体" w:hAnsi="宋体" w:eastAsia="宋体" w:cs="宋体"/>
          <w:color w:val="auto"/>
          <w:sz w:val="24"/>
          <w:szCs w:val="24"/>
          <w:highlight w:val="none"/>
        </w:rPr>
        <w:t>积尘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接线是否有松动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端子排和电缆排是否完好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出现</w:t>
      </w:r>
      <w:r>
        <w:rPr>
          <w:rFonts w:hint="eastAsia" w:ascii="宋体" w:hAnsi="宋体" w:eastAsia="宋体" w:cs="宋体"/>
          <w:color w:val="auto"/>
          <w:sz w:val="24"/>
          <w:szCs w:val="24"/>
          <w:highlight w:val="none"/>
        </w:rPr>
        <w:t>异常并紧固端子等</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9.8.6</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照明度应符合</w:t>
      </w:r>
      <w:r>
        <w:rPr>
          <w:rFonts w:hint="eastAsia" w:ascii="宋体" w:hAnsi="宋体" w:cs="宋体"/>
          <w:color w:val="auto"/>
          <w:sz w:val="24"/>
          <w:szCs w:val="24"/>
          <w:highlight w:val="none"/>
          <w:lang w:val="en-US" w:eastAsia="zh-CN"/>
        </w:rPr>
        <w:t>现行国家标准《</w:t>
      </w:r>
      <w:r>
        <w:rPr>
          <w:rFonts w:hint="eastAsia" w:ascii="宋体" w:hAnsi="宋体" w:eastAsia="宋体" w:cs="宋体"/>
          <w:color w:val="auto"/>
          <w:sz w:val="24"/>
          <w:szCs w:val="24"/>
          <w:highlight w:val="none"/>
          <w:lang w:val="en-US" w:eastAsia="zh-CN"/>
        </w:rPr>
        <w:t>建筑照明设计标准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GB 50034的相关</w:t>
      </w:r>
      <w:r>
        <w:rPr>
          <w:rFonts w:hint="eastAsia" w:ascii="宋体" w:hAnsi="宋体" w:cs="宋体"/>
          <w:color w:val="auto"/>
          <w:sz w:val="24"/>
          <w:szCs w:val="24"/>
          <w:highlight w:val="none"/>
          <w:lang w:val="en-US" w:eastAsia="zh-CN"/>
        </w:rPr>
        <w:t>规定</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221" w:name="_Toc1996"/>
      <w:bookmarkStart w:id="222" w:name="_Toc6382"/>
      <w:r>
        <w:rPr>
          <w:rFonts w:hint="eastAsia" w:ascii="宋体" w:hAnsi="宋体" w:eastAsia="宋体" w:cs="宋体"/>
          <w:b/>
          <w:bCs/>
          <w:color w:val="auto"/>
          <w:sz w:val="24"/>
          <w:szCs w:val="24"/>
          <w:highlight w:val="none"/>
          <w:lang w:val="en-US" w:eastAsia="zh-CN"/>
        </w:rPr>
        <w:t>9.9  生产区设备清洁保养</w:t>
      </w:r>
      <w:bookmarkEnd w:id="221"/>
      <w:bookmarkEnd w:id="222"/>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9.9.1</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厂房设备辅助清洁保养作业，应制定健全的安全作业制度及流程。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9.9.2</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应制定厂房设备清洁保养计划，</w:t>
      </w:r>
      <w:r>
        <w:rPr>
          <w:rFonts w:hint="eastAsia" w:ascii="宋体" w:hAnsi="宋体" w:cs="宋体"/>
          <w:color w:val="auto"/>
          <w:sz w:val="24"/>
          <w:szCs w:val="24"/>
          <w:highlight w:val="none"/>
          <w:lang w:val="en-US" w:eastAsia="zh-CN"/>
        </w:rPr>
        <w:t>按本标准第</w:t>
      </w: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lang w:val="en-US" w:eastAsia="zh-CN"/>
        </w:rPr>
        <w:t>的规定</w:t>
      </w:r>
      <w:r>
        <w:rPr>
          <w:rFonts w:hint="eastAsia" w:ascii="宋体" w:hAnsi="宋体" w:eastAsia="宋体" w:cs="宋体"/>
          <w:color w:val="auto"/>
          <w:sz w:val="24"/>
          <w:szCs w:val="24"/>
          <w:highlight w:val="none"/>
          <w:lang w:val="en-US" w:eastAsia="zh-CN"/>
        </w:rPr>
        <w:t>严格执行同时满足且不限于以下内容：</w:t>
      </w:r>
    </w:p>
    <w:p>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rPr>
          <w:rFonts w:hint="eastAsia" w:ascii="宋体" w:hAnsi="宋体" w:eastAsia="宋体" w:cs="宋体"/>
          <w:color w:val="auto"/>
          <w:sz w:val="24"/>
          <w:szCs w:val="24"/>
          <w:highlight w:val="none"/>
          <w:lang w:val="en-US" w:eastAsia="zh-CN" w:bidi="ar-SA"/>
        </w:rPr>
      </w:pPr>
      <w:bookmarkStart w:id="223" w:name="_Toc2653"/>
      <w:bookmarkStart w:id="224" w:name="_Toc14404"/>
      <w:bookmarkStart w:id="225" w:name="_Toc23972"/>
      <w:bookmarkStart w:id="226" w:name="_Toc25745"/>
      <w:r>
        <w:rPr>
          <w:rFonts w:hint="eastAsia" w:ascii="宋体" w:hAnsi="宋体" w:eastAsia="宋体" w:cs="宋体"/>
          <w:color w:val="auto"/>
          <w:sz w:val="24"/>
          <w:szCs w:val="24"/>
          <w:highlight w:val="none"/>
          <w:lang w:val="en-US" w:eastAsia="zh-CN" w:bidi="ar-SA"/>
        </w:rPr>
        <w:t>1  生产区内厂房/设备清洁保养的工作人员，应通过安全部门组织的安全培训并取得合格，方可进入指定区域开展工作</w:t>
      </w:r>
      <w:bookmarkEnd w:id="223"/>
      <w:bookmarkEnd w:id="224"/>
      <w:bookmarkEnd w:id="225"/>
      <w:bookmarkEnd w:id="226"/>
      <w:r>
        <w:rPr>
          <w:rFonts w:hint="eastAsia" w:ascii="宋体" w:hAnsi="宋体" w:eastAsia="宋体" w:cs="宋体"/>
          <w:color w:val="auto"/>
          <w:sz w:val="24"/>
          <w:szCs w:val="24"/>
          <w:highlight w:val="none"/>
          <w:lang w:val="en-US" w:eastAsia="zh-CN" w:bidi="ar-SA"/>
        </w:rPr>
        <w:t>；</w:t>
      </w:r>
    </w:p>
    <w:p>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outlineLvl w:val="0"/>
        <w:rPr>
          <w:rFonts w:hint="eastAsia" w:ascii="宋体" w:hAnsi="宋体" w:eastAsia="宋体" w:cs="宋体"/>
          <w:color w:val="auto"/>
          <w:sz w:val="24"/>
          <w:szCs w:val="24"/>
          <w:highlight w:val="none"/>
          <w:lang w:val="en-US" w:eastAsia="zh-CN" w:bidi="ar-SA"/>
        </w:rPr>
      </w:pPr>
      <w:bookmarkStart w:id="227" w:name="_Toc29892"/>
      <w:bookmarkStart w:id="228" w:name="_Toc32020"/>
      <w:bookmarkStart w:id="229" w:name="_Toc15659"/>
      <w:bookmarkStart w:id="230" w:name="_Toc9873"/>
      <w:r>
        <w:rPr>
          <w:rFonts w:hint="eastAsia" w:ascii="宋体" w:hAnsi="宋体" w:eastAsia="宋体" w:cs="宋体"/>
          <w:color w:val="auto"/>
          <w:sz w:val="24"/>
          <w:szCs w:val="24"/>
          <w:highlight w:val="none"/>
          <w:lang w:val="en-US" w:eastAsia="zh-CN" w:bidi="ar-SA"/>
        </w:rPr>
        <w:t>2  应有相关注意事项和安全措施的细项要求</w:t>
      </w:r>
      <w:bookmarkEnd w:id="227"/>
      <w:bookmarkEnd w:id="228"/>
      <w:bookmarkEnd w:id="229"/>
      <w:bookmarkEnd w:id="230"/>
      <w:r>
        <w:rPr>
          <w:rFonts w:hint="eastAsia" w:ascii="宋体" w:hAnsi="宋体" w:eastAsia="宋体" w:cs="宋体"/>
          <w:color w:val="auto"/>
          <w:sz w:val="24"/>
          <w:szCs w:val="24"/>
          <w:highlight w:val="none"/>
          <w:lang w:val="en-US" w:eastAsia="zh-CN" w:bidi="ar-SA"/>
        </w:rPr>
        <w:t>；</w:t>
      </w:r>
    </w:p>
    <w:p>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outlineLvl w:val="0"/>
        <w:rPr>
          <w:rFonts w:hint="eastAsia" w:ascii="宋体" w:hAnsi="宋体" w:eastAsia="宋体" w:cs="宋体"/>
          <w:color w:val="auto"/>
          <w:sz w:val="24"/>
          <w:szCs w:val="24"/>
          <w:highlight w:val="none"/>
          <w:lang w:val="en-US" w:eastAsia="zh-CN" w:bidi="ar-SA"/>
        </w:rPr>
      </w:pPr>
      <w:bookmarkStart w:id="231" w:name="_Toc3848"/>
      <w:bookmarkStart w:id="232" w:name="_Toc32491"/>
      <w:bookmarkStart w:id="233" w:name="_Toc10963"/>
      <w:bookmarkStart w:id="234" w:name="_Toc32511"/>
      <w:r>
        <w:rPr>
          <w:rFonts w:hint="eastAsia" w:ascii="宋体" w:hAnsi="宋体" w:eastAsia="宋体" w:cs="宋体"/>
          <w:color w:val="auto"/>
          <w:sz w:val="24"/>
          <w:szCs w:val="24"/>
          <w:highlight w:val="none"/>
          <w:lang w:val="en-US" w:eastAsia="zh-CN" w:bidi="ar-SA"/>
        </w:rPr>
        <w:t>3  明确相关的主要责任人员以及现场监护实施人员方可开展工作</w:t>
      </w:r>
      <w:bookmarkEnd w:id="231"/>
      <w:bookmarkEnd w:id="232"/>
      <w:bookmarkEnd w:id="233"/>
      <w:bookmarkEnd w:id="234"/>
      <w:r>
        <w:rPr>
          <w:rFonts w:hint="eastAsia" w:ascii="宋体" w:hAnsi="宋体" w:eastAsia="宋体" w:cs="宋体"/>
          <w:color w:val="auto"/>
          <w:sz w:val="24"/>
          <w:szCs w:val="24"/>
          <w:highlight w:val="none"/>
          <w:lang w:val="en-US" w:eastAsia="zh-CN" w:bidi="ar-SA"/>
        </w:rPr>
        <w:t>；</w:t>
      </w:r>
    </w:p>
    <w:p>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ind w:leftChars="0" w:firstLine="480" w:firstLineChars="200"/>
        <w:textAlignment w:val="auto"/>
        <w:rPr>
          <w:rFonts w:hint="eastAsia" w:ascii="宋体" w:hAnsi="宋体" w:eastAsia="宋体" w:cs="宋体"/>
          <w:color w:val="auto"/>
          <w:sz w:val="24"/>
          <w:szCs w:val="24"/>
          <w:highlight w:val="none"/>
          <w:lang w:val="en-US" w:eastAsia="zh-CN"/>
        </w:rPr>
      </w:pPr>
      <w:bookmarkStart w:id="235" w:name="_Toc13075"/>
      <w:bookmarkStart w:id="236" w:name="_Toc20415"/>
      <w:bookmarkStart w:id="237" w:name="_Toc25597"/>
      <w:bookmarkStart w:id="238" w:name="_Toc13150"/>
      <w:r>
        <w:rPr>
          <w:rFonts w:hint="eastAsia" w:ascii="宋体" w:hAnsi="宋体" w:eastAsia="宋体" w:cs="宋体"/>
          <w:color w:val="auto"/>
          <w:sz w:val="24"/>
          <w:szCs w:val="24"/>
          <w:highlight w:val="none"/>
          <w:lang w:val="en-US" w:eastAsia="zh-CN" w:bidi="ar-SA"/>
        </w:rPr>
        <w:t>4  进入机械转动或带电区域的作业人员，应严格遵循在安全工作范围内作业；作业范围边界宜设有临时护栏和警示标示，须在监护人员的监督下严格按作业计划、作业流程开展工作。</w:t>
      </w:r>
      <w:bookmarkEnd w:id="235"/>
      <w:bookmarkEnd w:id="236"/>
      <w:bookmarkEnd w:id="237"/>
      <w:bookmarkEnd w:id="238"/>
    </w:p>
    <w:p>
      <w:pPr>
        <w:pStyle w:val="2"/>
        <w:keepNext w:val="0"/>
        <w:keepLines w:val="0"/>
        <w:pageBreakBefore/>
        <w:spacing w:line="240" w:lineRule="auto"/>
        <w:jc w:val="center"/>
        <w:rPr>
          <w:rFonts w:hint="default" w:ascii="Times New Roman" w:hAnsi="Times New Roman" w:eastAsia="宋体" w:cs="Times New Roman"/>
          <w:sz w:val="30"/>
          <w:highlight w:val="none"/>
          <w:lang w:val="en-US" w:eastAsia="zh-CN"/>
        </w:rPr>
      </w:pPr>
      <w:bookmarkStart w:id="239" w:name="_Toc13344"/>
      <w:bookmarkStart w:id="240" w:name="_Toc17579"/>
      <w:r>
        <w:rPr>
          <w:rFonts w:hint="eastAsia" w:ascii="Times New Roman" w:hAnsi="Times New Roman" w:eastAsia="宋体" w:cs="Times New Roman"/>
          <w:sz w:val="30"/>
          <w:highlight w:val="none"/>
          <w:lang w:val="en-US" w:eastAsia="zh-CN"/>
        </w:rPr>
        <w:t xml:space="preserve">10  </w:t>
      </w:r>
      <w:r>
        <w:rPr>
          <w:rFonts w:hint="eastAsia" w:ascii="Times New Roman" w:hAnsi="Times New Roman" w:eastAsia="宋体" w:cs="Times New Roman"/>
          <w:b w:val="0"/>
          <w:bCs w:val="0"/>
          <w:sz w:val="30"/>
          <w:highlight w:val="none"/>
          <w:lang w:val="en-US" w:eastAsia="zh-CN"/>
        </w:rPr>
        <w:t>秩序消防</w:t>
      </w:r>
      <w:bookmarkEnd w:id="239"/>
      <w:r>
        <w:rPr>
          <w:rFonts w:hint="eastAsia" w:ascii="Times New Roman" w:hAnsi="Times New Roman" w:eastAsia="宋体" w:cs="Times New Roman"/>
          <w:b w:val="0"/>
          <w:bCs w:val="0"/>
          <w:sz w:val="30"/>
          <w:highlight w:val="none"/>
          <w:lang w:val="en-US" w:eastAsia="zh-CN"/>
        </w:rPr>
        <w:t>服务</w:t>
      </w:r>
      <w:bookmarkEnd w:id="240"/>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241" w:name="_Toc22619"/>
      <w:bookmarkStart w:id="242" w:name="_Toc12381"/>
      <w:r>
        <w:rPr>
          <w:rFonts w:hint="eastAsia" w:ascii="宋体" w:hAnsi="宋体" w:eastAsia="宋体" w:cs="宋体"/>
          <w:b/>
          <w:bCs/>
          <w:color w:val="auto"/>
          <w:sz w:val="24"/>
          <w:szCs w:val="24"/>
          <w:highlight w:val="none"/>
          <w:lang w:val="en-US" w:eastAsia="zh-CN"/>
        </w:rPr>
        <w:t>10.1  出入管理</w:t>
      </w:r>
      <w:bookmarkEnd w:id="241"/>
      <w:bookmarkEnd w:id="242"/>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default" w:ascii="Times New Roman" w:hAnsi="Times New Roman" w:eastAsia="宋体" w:cs="Times New Roman"/>
          <w:b/>
          <w:bCs/>
          <w:i w:val="0"/>
          <w:color w:val="auto"/>
          <w:kern w:val="2"/>
          <w:sz w:val="24"/>
          <w:szCs w:val="24"/>
          <w:highlight w:val="none"/>
          <w:lang w:val="en-US" w:eastAsia="zh-CN" w:bidi="ar-SA"/>
        </w:rPr>
        <w:t>10.1.1</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人员、车辆、物品进出有制定相关的管理制度。</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10.1.2 </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接待来访人员应做到规范指引。</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10.1.3</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主要出入口实行24小时值班制度，实行定时站岗制，应有详细的交接班记录。</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10.1.4</w:t>
      </w:r>
      <w:r>
        <w:rPr>
          <w:rFonts w:hint="eastAsia" w:ascii="宋体" w:hAnsi="宋体" w:eastAsia="宋体" w:cs="宋体"/>
          <w:b w:val="0"/>
          <w:i w:val="0"/>
          <w:color w:val="auto"/>
          <w:kern w:val="2"/>
          <w:sz w:val="24"/>
          <w:szCs w:val="24"/>
          <w:highlight w:val="none"/>
          <w:lang w:val="en-US" w:eastAsia="zh-CN" w:bidi="ar-SA"/>
        </w:rPr>
        <w:t xml:space="preserve"> </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电力企业驻地单位工作人员凭工作卡（证）或人脸识别等生物识别系统确认后出入。</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10.1.5</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营业厅非营业区人员进入应持出入（卡）证或生物识别系统确认后进入。</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10.1.6</w:t>
      </w:r>
      <w:r>
        <w:rPr>
          <w:rFonts w:hint="eastAsia" w:ascii="宋体" w:hAnsi="宋体" w:eastAsia="宋体" w:cs="宋体"/>
          <w:b w:val="0"/>
          <w:i w:val="0"/>
          <w:color w:val="auto"/>
          <w:kern w:val="2"/>
          <w:sz w:val="24"/>
          <w:szCs w:val="24"/>
          <w:highlight w:val="none"/>
          <w:lang w:val="en-US" w:eastAsia="zh-CN" w:bidi="ar-SA"/>
        </w:rPr>
        <w:t xml:space="preserve"> </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vanish w:val="0"/>
          <w:color w:val="auto"/>
          <w:sz w:val="24"/>
          <w:szCs w:val="24"/>
          <w:highlight w:val="none"/>
          <w:lang w:eastAsia="zh-CN"/>
        </w:rPr>
        <w:t>外来人员进入电力物资仓库需经</w:t>
      </w:r>
      <w:r>
        <w:rPr>
          <w:rFonts w:hint="eastAsia" w:ascii="宋体" w:hAnsi="宋体" w:eastAsia="宋体" w:cs="宋体"/>
          <w:vanish w:val="0"/>
          <w:color w:val="auto"/>
          <w:sz w:val="24"/>
          <w:szCs w:val="24"/>
          <w:highlight w:val="none"/>
          <w:lang w:val="en-US" w:eastAsia="zh-CN"/>
        </w:rPr>
        <w:t>相关</w:t>
      </w:r>
      <w:r>
        <w:rPr>
          <w:rFonts w:hint="eastAsia" w:ascii="宋体" w:hAnsi="宋体" w:eastAsia="宋体" w:cs="宋体"/>
          <w:vanish w:val="0"/>
          <w:color w:val="auto"/>
          <w:sz w:val="24"/>
          <w:szCs w:val="24"/>
          <w:highlight w:val="none"/>
          <w:lang w:eastAsia="zh-CN"/>
        </w:rPr>
        <w:t>管理部门批准，</w:t>
      </w:r>
      <w:r>
        <w:rPr>
          <w:rFonts w:hint="eastAsia" w:ascii="宋体" w:hAnsi="宋体" w:eastAsia="宋体" w:cs="宋体"/>
          <w:vanish w:val="0"/>
          <w:color w:val="auto"/>
          <w:sz w:val="24"/>
          <w:szCs w:val="24"/>
          <w:highlight w:val="none"/>
          <w:lang w:val="en-US" w:eastAsia="zh-CN"/>
        </w:rPr>
        <w:t>经</w:t>
      </w:r>
      <w:r>
        <w:rPr>
          <w:rFonts w:hint="eastAsia" w:ascii="宋体" w:hAnsi="宋体" w:eastAsia="宋体" w:cs="宋体"/>
          <w:vanish w:val="0"/>
          <w:color w:val="auto"/>
          <w:sz w:val="24"/>
          <w:szCs w:val="24"/>
          <w:highlight w:val="none"/>
          <w:lang w:eastAsia="zh-CN"/>
        </w:rPr>
        <w:t>保安人员核实、登记后方可进入</w:t>
      </w:r>
      <w:r>
        <w:rPr>
          <w:rFonts w:hint="eastAsia" w:ascii="宋体" w:hAnsi="宋体" w:eastAsia="宋体" w:cs="宋体"/>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10.1.7</w:t>
      </w:r>
      <w:r>
        <w:rPr>
          <w:rFonts w:hint="eastAsia" w:ascii="宋体" w:hAnsi="宋体" w:eastAsia="宋体" w:cs="宋体"/>
          <w:b w:val="0"/>
          <w:i w:val="0"/>
          <w:color w:val="auto"/>
          <w:sz w:val="24"/>
          <w:szCs w:val="24"/>
          <w:highlight w:val="none"/>
          <w:lang w:val="en-US" w:eastAsia="zh-CN" w:bidi="ar-SA"/>
        </w:rPr>
        <w:t xml:space="preserve">  按制度执行物品进出管理，</w:t>
      </w:r>
      <w:r>
        <w:rPr>
          <w:rFonts w:hint="eastAsia" w:ascii="宋体" w:hAnsi="宋体" w:eastAsia="宋体" w:cs="宋体"/>
          <w:color w:val="auto"/>
          <w:sz w:val="24"/>
          <w:szCs w:val="24"/>
          <w:highlight w:val="none"/>
          <w:lang w:val="en-US" w:eastAsia="zh-CN"/>
        </w:rPr>
        <w:t>禁止人员、车辆携带违禁易燃、易爆危险品禁止进入。</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243" w:name="_Toc26802"/>
      <w:bookmarkStart w:id="244" w:name="_Toc19412"/>
      <w:r>
        <w:rPr>
          <w:rFonts w:hint="eastAsia" w:ascii="宋体" w:hAnsi="宋体" w:eastAsia="宋体" w:cs="宋体"/>
          <w:b/>
          <w:bCs/>
          <w:color w:val="auto"/>
          <w:sz w:val="24"/>
          <w:szCs w:val="24"/>
          <w:highlight w:val="none"/>
          <w:lang w:val="en-US" w:eastAsia="zh-CN"/>
        </w:rPr>
        <w:t>10.2  交通停车</w:t>
      </w:r>
      <w:bookmarkEnd w:id="243"/>
      <w:r>
        <w:rPr>
          <w:rFonts w:hint="eastAsia" w:ascii="宋体" w:hAnsi="宋体" w:eastAsia="宋体" w:cs="宋体"/>
          <w:b/>
          <w:bCs/>
          <w:color w:val="auto"/>
          <w:sz w:val="24"/>
          <w:szCs w:val="24"/>
          <w:highlight w:val="none"/>
          <w:lang w:val="en-US" w:eastAsia="zh-CN"/>
        </w:rPr>
        <w:t>秩序</w:t>
      </w:r>
      <w:bookmarkEnd w:id="244"/>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eastAsia="zh-CN"/>
        </w:rPr>
      </w:pPr>
      <w:r>
        <w:rPr>
          <w:rFonts w:hint="eastAsia" w:ascii="Times New Roman" w:hAnsi="Times New Roman" w:eastAsia="宋体" w:cs="Times New Roman"/>
          <w:b/>
          <w:bCs/>
          <w:i w:val="0"/>
          <w:color w:val="auto"/>
          <w:kern w:val="2"/>
          <w:sz w:val="24"/>
          <w:szCs w:val="24"/>
          <w:highlight w:val="none"/>
          <w:lang w:val="en-US" w:eastAsia="zh-CN" w:bidi="ar-SA"/>
        </w:rPr>
        <w:t>10.2.1</w:t>
      </w:r>
      <w:r>
        <w:rPr>
          <w:rFonts w:hint="eastAsia" w:ascii="宋体" w:hAnsi="宋体" w:eastAsia="宋体" w:cs="宋体"/>
          <w:vanish w:val="0"/>
          <w:color w:val="auto"/>
          <w:sz w:val="24"/>
          <w:szCs w:val="24"/>
          <w:highlight w:val="none"/>
          <w:lang w:val="en-US" w:eastAsia="zh-CN"/>
        </w:rPr>
        <w:t xml:space="preserve">  应有停车场管理制度，建立并妥善保存车辆信息档案。 </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10.2.2 </w:t>
      </w:r>
      <w:r>
        <w:rPr>
          <w:rFonts w:hint="eastAsia" w:ascii="宋体" w:hAnsi="宋体" w:eastAsia="宋体" w:cs="宋体"/>
          <w:vanish w:val="0"/>
          <w:color w:val="auto"/>
          <w:sz w:val="24"/>
          <w:szCs w:val="24"/>
          <w:highlight w:val="none"/>
          <w:lang w:val="en-US" w:eastAsia="zh-CN"/>
        </w:rPr>
        <w:t xml:space="preserve"> 应有停电、系统故障、暴力、盗窃、车辆堵塞与车祸事件的应急处理方案，定期演练。</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10.2.3 </w:t>
      </w:r>
      <w:r>
        <w:rPr>
          <w:rFonts w:hint="eastAsia" w:ascii="宋体" w:hAnsi="宋体" w:eastAsia="宋体" w:cs="宋体"/>
          <w:vanish w:val="0"/>
          <w:color w:val="auto"/>
          <w:sz w:val="24"/>
          <w:szCs w:val="24"/>
          <w:highlight w:val="none"/>
          <w:lang w:val="en-US" w:eastAsia="zh-CN"/>
        </w:rPr>
        <w:t xml:space="preserve"> 在显眼位置公示停车收费标准及停车场相关管理要求。</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10.2.4</w:t>
      </w:r>
      <w:r>
        <w:rPr>
          <w:rFonts w:hint="eastAsia" w:ascii="宋体" w:hAnsi="宋体" w:eastAsia="宋体" w:cs="宋体"/>
          <w:vanish w:val="0"/>
          <w:color w:val="auto"/>
          <w:sz w:val="24"/>
          <w:szCs w:val="24"/>
          <w:highlight w:val="none"/>
          <w:lang w:val="en-US" w:eastAsia="zh-CN"/>
        </w:rPr>
        <w:t xml:space="preserve">  安排专人在高峰期对停车场及主要交通出入口进行管控</w:t>
      </w:r>
      <w:r>
        <w:rPr>
          <w:rFonts w:hint="eastAsia" w:ascii="宋体" w:hAnsi="宋体" w:eastAsia="宋体" w:cs="宋体"/>
          <w:vanish w:val="0"/>
          <w:color w:val="auto"/>
          <w:sz w:val="24"/>
          <w:szCs w:val="24"/>
          <w:highlight w:val="none"/>
          <w:lang w:eastAsia="zh-CN"/>
        </w:rPr>
        <w:t>指挥、疏导车辆出入</w:t>
      </w:r>
      <w:r>
        <w:rPr>
          <w:rFonts w:hint="eastAsia" w:ascii="宋体" w:hAnsi="宋体" w:eastAsia="宋体" w:cs="宋体"/>
          <w:vanish w:val="0"/>
          <w:color w:val="auto"/>
          <w:sz w:val="24"/>
          <w:szCs w:val="24"/>
          <w:highlight w:val="none"/>
          <w:lang w:val="en-US" w:eastAsia="zh-CN"/>
        </w:rPr>
        <w:t>，保证人车通行有序、安全，</w:t>
      </w:r>
      <w:r>
        <w:rPr>
          <w:rFonts w:hint="eastAsia" w:ascii="宋体" w:hAnsi="宋体" w:eastAsia="宋体" w:cs="宋体"/>
          <w:vanish w:val="0"/>
          <w:color w:val="auto"/>
          <w:sz w:val="24"/>
          <w:szCs w:val="24"/>
          <w:highlight w:val="none"/>
          <w:lang w:eastAsia="zh-CN"/>
        </w:rPr>
        <w:t>不发生交通堵塞</w:t>
      </w:r>
      <w:r>
        <w:rPr>
          <w:rFonts w:hint="eastAsia" w:ascii="宋体" w:hAnsi="宋体" w:eastAsia="宋体" w:cs="宋体"/>
          <w:vanish w:val="0"/>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10.2.5 </w:t>
      </w:r>
      <w:r>
        <w:rPr>
          <w:rFonts w:hint="eastAsia" w:ascii="宋体" w:hAnsi="宋体" w:eastAsia="宋体" w:cs="宋体"/>
          <w:vanish w:val="0"/>
          <w:color w:val="auto"/>
          <w:sz w:val="24"/>
          <w:szCs w:val="24"/>
          <w:highlight w:val="none"/>
          <w:lang w:val="en-US" w:eastAsia="zh-CN"/>
        </w:rPr>
        <w:t xml:space="preserve"> 保障</w:t>
      </w:r>
      <w:r>
        <w:rPr>
          <w:rFonts w:hint="eastAsia" w:ascii="宋体" w:hAnsi="宋体" w:eastAsia="宋体" w:cs="宋体"/>
          <w:vanish w:val="0"/>
          <w:color w:val="auto"/>
          <w:sz w:val="24"/>
          <w:szCs w:val="24"/>
          <w:highlight w:val="none"/>
          <w:lang w:eastAsia="zh-CN"/>
        </w:rPr>
        <w:t>重大活动、会议接待</w:t>
      </w:r>
      <w:r>
        <w:rPr>
          <w:rFonts w:hint="eastAsia" w:ascii="宋体" w:hAnsi="宋体" w:eastAsia="宋体" w:cs="宋体"/>
          <w:vanish w:val="0"/>
          <w:color w:val="auto"/>
          <w:sz w:val="24"/>
          <w:szCs w:val="24"/>
          <w:highlight w:val="none"/>
          <w:lang w:val="en-US" w:eastAsia="zh-CN"/>
        </w:rPr>
        <w:t>等</w:t>
      </w:r>
      <w:r>
        <w:rPr>
          <w:rFonts w:hint="eastAsia" w:ascii="宋体" w:hAnsi="宋体" w:eastAsia="宋体" w:cs="宋体"/>
          <w:vanish w:val="0"/>
          <w:color w:val="auto"/>
          <w:sz w:val="24"/>
          <w:szCs w:val="24"/>
          <w:highlight w:val="none"/>
          <w:lang w:eastAsia="zh-CN"/>
        </w:rPr>
        <w:t>车辆指挥、疏导、停放</w:t>
      </w:r>
      <w:r>
        <w:rPr>
          <w:rFonts w:hint="eastAsia" w:ascii="宋体" w:hAnsi="宋体" w:eastAsia="宋体" w:cs="宋体"/>
          <w:vanish w:val="0"/>
          <w:color w:val="auto"/>
          <w:sz w:val="24"/>
          <w:szCs w:val="24"/>
          <w:highlight w:val="none"/>
          <w:lang w:val="en-US" w:eastAsia="zh-CN"/>
        </w:rPr>
        <w:t>有</w:t>
      </w:r>
      <w:r>
        <w:rPr>
          <w:rFonts w:hint="eastAsia" w:ascii="宋体" w:hAnsi="宋体" w:eastAsia="宋体" w:cs="宋体"/>
          <w:vanish w:val="0"/>
          <w:color w:val="auto"/>
          <w:sz w:val="24"/>
          <w:szCs w:val="24"/>
          <w:highlight w:val="none"/>
          <w:lang w:eastAsia="zh-CN"/>
        </w:rPr>
        <w:t>秩序</w:t>
      </w:r>
      <w:r>
        <w:rPr>
          <w:rFonts w:hint="eastAsia" w:ascii="宋体" w:hAnsi="宋体" w:eastAsia="宋体" w:cs="宋体"/>
          <w:vanish w:val="0"/>
          <w:color w:val="auto"/>
          <w:sz w:val="24"/>
          <w:szCs w:val="24"/>
          <w:highlight w:val="none"/>
          <w:lang w:val="en-US" w:eastAsia="zh-CN"/>
        </w:rPr>
        <w:t>进行。</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10.2.6 </w:t>
      </w:r>
      <w:r>
        <w:rPr>
          <w:rFonts w:hint="eastAsia" w:ascii="宋体" w:hAnsi="宋体" w:eastAsia="宋体" w:cs="宋体"/>
          <w:vanish w:val="0"/>
          <w:color w:val="auto"/>
          <w:sz w:val="24"/>
          <w:szCs w:val="24"/>
          <w:highlight w:val="none"/>
          <w:lang w:val="en-US" w:eastAsia="zh-CN"/>
        </w:rPr>
        <w:t xml:space="preserve"> 应保持停车场内通风排气、照明、防洪沙袋、排水、消防设施、设备正常使用，保障车辆安全，保持消防通道畅通。</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10.2.7</w:t>
      </w:r>
      <w:r>
        <w:rPr>
          <w:rFonts w:hint="eastAsia" w:ascii="宋体" w:hAnsi="宋体" w:eastAsia="宋体" w:cs="宋体"/>
          <w:vanish w:val="0"/>
          <w:color w:val="auto"/>
          <w:sz w:val="24"/>
          <w:szCs w:val="24"/>
          <w:highlight w:val="none"/>
          <w:lang w:val="en-US" w:eastAsia="zh-CN"/>
        </w:rPr>
        <w:t xml:space="preserve">  应</w:t>
      </w:r>
      <w:r>
        <w:rPr>
          <w:rFonts w:hint="eastAsia" w:ascii="宋体" w:hAnsi="宋体" w:cs="宋体"/>
          <w:vanish w:val="0"/>
          <w:color w:val="auto"/>
          <w:sz w:val="24"/>
          <w:szCs w:val="24"/>
          <w:highlight w:val="none"/>
          <w:lang w:val="en-US" w:eastAsia="zh-CN"/>
        </w:rPr>
        <w:t>符合现行国家标准《</w:t>
      </w:r>
      <w:r>
        <w:rPr>
          <w:rFonts w:hint="eastAsia" w:ascii="宋体" w:hAnsi="宋体" w:eastAsia="宋体" w:cs="宋体"/>
          <w:vanish w:val="0"/>
          <w:color w:val="auto"/>
          <w:sz w:val="24"/>
          <w:szCs w:val="24"/>
          <w:highlight w:val="none"/>
          <w:lang w:val="en-US" w:eastAsia="zh-CN"/>
        </w:rPr>
        <w:t>道路交通标志和标线  第2部分：道路交通标志》GB 5768.2的</w:t>
      </w:r>
      <w:r>
        <w:rPr>
          <w:rFonts w:hint="eastAsia" w:ascii="宋体" w:hAnsi="宋体" w:cs="宋体"/>
          <w:vanish w:val="0"/>
          <w:color w:val="auto"/>
          <w:sz w:val="24"/>
          <w:szCs w:val="24"/>
          <w:highlight w:val="none"/>
          <w:lang w:val="en-US" w:eastAsia="zh-CN"/>
        </w:rPr>
        <w:t>规定</w:t>
      </w:r>
      <w:r>
        <w:rPr>
          <w:rFonts w:hint="eastAsia" w:ascii="宋体" w:hAnsi="宋体" w:eastAsia="宋体" w:cs="宋体"/>
          <w:vanish w:val="0"/>
          <w:color w:val="auto"/>
          <w:sz w:val="24"/>
          <w:szCs w:val="24"/>
          <w:highlight w:val="none"/>
          <w:lang w:val="en-US" w:eastAsia="zh-CN"/>
        </w:rPr>
        <w:t>设置规范的停车场标识标牌，划定交通标线和泊位标线，对停车泊位实施编号管理。张贴安全停车的警示标语；标明专用车位，保障</w:t>
      </w:r>
      <w:r>
        <w:rPr>
          <w:rFonts w:hint="eastAsia" w:ascii="宋体" w:hAnsi="宋体" w:eastAsia="宋体" w:cs="宋体"/>
          <w:vanish w:val="0"/>
          <w:color w:val="auto"/>
          <w:sz w:val="24"/>
          <w:szCs w:val="24"/>
          <w:highlight w:val="none"/>
          <w:lang w:eastAsia="zh-CN"/>
        </w:rPr>
        <w:t>车辆有序停放</w:t>
      </w:r>
      <w:r>
        <w:rPr>
          <w:rFonts w:hint="eastAsia" w:ascii="宋体" w:hAnsi="宋体" w:eastAsia="宋体" w:cs="宋体"/>
          <w:vanish w:val="0"/>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10.2.8</w:t>
      </w:r>
      <w:r>
        <w:rPr>
          <w:rFonts w:hint="eastAsia" w:ascii="宋体" w:hAnsi="宋体" w:eastAsia="宋体" w:cs="宋体"/>
          <w:vanish w:val="0"/>
          <w:color w:val="auto"/>
          <w:sz w:val="24"/>
          <w:szCs w:val="24"/>
          <w:highlight w:val="none"/>
          <w:lang w:val="en-US" w:eastAsia="zh-CN"/>
        </w:rPr>
        <w:t xml:space="preserve">  物业禁行区域，应协助业主做好车辆限行管理工作。</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10.2.9  </w:t>
      </w:r>
      <w:r>
        <w:rPr>
          <w:rFonts w:hint="eastAsia" w:ascii="宋体" w:hAnsi="宋体" w:eastAsia="宋体" w:cs="宋体"/>
          <w:vanish w:val="0"/>
          <w:color w:val="auto"/>
          <w:sz w:val="24"/>
          <w:szCs w:val="24"/>
          <w:highlight w:val="none"/>
          <w:lang w:val="en-US" w:eastAsia="zh-CN"/>
        </w:rPr>
        <w:t>根据车辆实际出入情况进行实时有效疏导，保证出入口畅通。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245" w:name="_Toc25596"/>
      <w:bookmarkStart w:id="246" w:name="_Toc9991"/>
      <w:r>
        <w:rPr>
          <w:rFonts w:hint="eastAsia" w:ascii="宋体" w:hAnsi="宋体" w:eastAsia="宋体" w:cs="宋体"/>
          <w:b/>
          <w:bCs/>
          <w:color w:val="auto"/>
          <w:sz w:val="24"/>
          <w:szCs w:val="24"/>
          <w:highlight w:val="none"/>
          <w:lang w:val="en-US" w:eastAsia="zh-CN"/>
        </w:rPr>
        <w:t>10.3  装卸管理</w:t>
      </w:r>
      <w:bookmarkEnd w:id="245"/>
      <w:bookmarkEnd w:id="246"/>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10.3.1 </w:t>
      </w:r>
      <w:r>
        <w:rPr>
          <w:rFonts w:hint="eastAsia" w:ascii="宋体" w:hAnsi="宋体" w:eastAsia="宋体" w:cs="宋体"/>
          <w:vanish w:val="0"/>
          <w:color w:val="auto"/>
          <w:sz w:val="24"/>
          <w:szCs w:val="24"/>
          <w:highlight w:val="none"/>
          <w:lang w:val="en-US" w:eastAsia="zh-CN"/>
        </w:rPr>
        <w:t xml:space="preserve"> 物业公共范围内应划定货物装卸区，指引车辆在指定装卸区域和规定时间进行装卸，避免造成通道阻塞。</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10.3.2</w:t>
      </w:r>
      <w:r>
        <w:rPr>
          <w:rFonts w:hint="eastAsia" w:ascii="宋体" w:hAnsi="宋体" w:eastAsia="宋体" w:cs="宋体"/>
          <w:vanish w:val="0"/>
          <w:color w:val="auto"/>
          <w:sz w:val="24"/>
          <w:szCs w:val="24"/>
          <w:highlight w:val="none"/>
          <w:lang w:val="en-US" w:eastAsia="zh-CN"/>
        </w:rPr>
        <w:t xml:space="preserve">  装卸危险品时，必须检查运输许可证、危化车辆驾驶员和押运证人员资格证等有效；确保安全装卸。</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10.3.3</w:t>
      </w:r>
      <w:r>
        <w:rPr>
          <w:rFonts w:hint="eastAsia" w:ascii="宋体" w:hAnsi="宋体" w:eastAsia="宋体" w:cs="宋体"/>
          <w:vanish w:val="0"/>
          <w:color w:val="auto"/>
          <w:sz w:val="24"/>
          <w:szCs w:val="24"/>
          <w:highlight w:val="none"/>
          <w:lang w:val="en-US" w:eastAsia="zh-CN"/>
        </w:rPr>
        <w:t xml:space="preserve">  对于特殊形态如液体、粉状、超长、尖锐等货物要加强监管，防止污染环境和损坏设备。</w:t>
      </w:r>
    </w:p>
    <w:p>
      <w:pPr>
        <w:keepNext w:val="0"/>
        <w:keepLines w:val="0"/>
        <w:pageBreakBefore w:val="0"/>
        <w:widowControl/>
        <w:kinsoku/>
        <w:wordWrap/>
        <w:overflowPunct/>
        <w:topLinePunct w:val="0"/>
        <w:autoSpaceDE/>
        <w:autoSpaceDN/>
        <w:bidi w:val="0"/>
        <w:adjustRightInd/>
        <w:snapToGrid w:val="0"/>
        <w:spacing w:line="360" w:lineRule="auto"/>
        <w:textAlignment w:val="auto"/>
        <w:outlineLvl w:val="2"/>
        <w:rPr>
          <w:rFonts w:hint="eastAsia" w:ascii="宋体" w:hAnsi="宋体" w:eastAsia="宋体" w:cs="宋体"/>
          <w:vanish w:val="0"/>
          <w:color w:val="auto"/>
          <w:sz w:val="24"/>
          <w:szCs w:val="24"/>
          <w:highlight w:val="none"/>
          <w:lang w:val="en-US" w:eastAsia="zh-CN"/>
        </w:rPr>
      </w:pPr>
      <w:bookmarkStart w:id="247" w:name="_Toc2380"/>
      <w:r>
        <w:rPr>
          <w:rFonts w:hint="eastAsia" w:ascii="Times New Roman" w:hAnsi="Times New Roman" w:eastAsia="宋体" w:cs="Times New Roman"/>
          <w:b/>
          <w:bCs/>
          <w:i w:val="0"/>
          <w:color w:val="auto"/>
          <w:kern w:val="2"/>
          <w:sz w:val="24"/>
          <w:szCs w:val="24"/>
          <w:highlight w:val="none"/>
          <w:lang w:val="en-US" w:eastAsia="zh-CN" w:bidi="ar-SA"/>
        </w:rPr>
        <w:t>10.3.4</w:t>
      </w:r>
      <w:r>
        <w:rPr>
          <w:rFonts w:hint="eastAsia" w:ascii="宋体" w:hAnsi="宋体" w:eastAsia="宋体" w:cs="宋体"/>
          <w:vanish w:val="0"/>
          <w:color w:val="auto"/>
          <w:sz w:val="24"/>
          <w:szCs w:val="24"/>
          <w:highlight w:val="none"/>
          <w:lang w:val="en-US" w:eastAsia="zh-CN"/>
        </w:rPr>
        <w:t xml:space="preserve">  装卸后要及时理现场，保持环境整洁卫生。</w:t>
      </w:r>
      <w:bookmarkEnd w:id="247"/>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248" w:name="_Toc10918"/>
      <w:bookmarkStart w:id="249" w:name="_Toc1966"/>
      <w:r>
        <w:rPr>
          <w:rFonts w:hint="eastAsia" w:ascii="宋体" w:hAnsi="宋体" w:eastAsia="宋体" w:cs="宋体"/>
          <w:b/>
          <w:bCs/>
          <w:color w:val="auto"/>
          <w:sz w:val="24"/>
          <w:szCs w:val="24"/>
          <w:highlight w:val="none"/>
          <w:lang w:val="en-US" w:eastAsia="zh-CN"/>
        </w:rPr>
        <w:t>10.4  治安</w:t>
      </w:r>
      <w:bookmarkEnd w:id="248"/>
      <w:r>
        <w:rPr>
          <w:rFonts w:hint="eastAsia" w:ascii="宋体" w:hAnsi="宋体" w:eastAsia="宋体" w:cs="宋体"/>
          <w:b/>
          <w:bCs/>
          <w:color w:val="auto"/>
          <w:sz w:val="24"/>
          <w:szCs w:val="24"/>
          <w:highlight w:val="none"/>
          <w:lang w:val="en-US" w:eastAsia="zh-CN"/>
        </w:rPr>
        <w:t>秩序</w:t>
      </w:r>
      <w:bookmarkEnd w:id="249"/>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10.4.1</w:t>
      </w:r>
      <w:r>
        <w:rPr>
          <w:rFonts w:hint="eastAsia" w:ascii="宋体" w:hAnsi="宋体" w:eastAsia="宋体" w:cs="宋体"/>
          <w:vanish w:val="0"/>
          <w:color w:val="auto"/>
          <w:sz w:val="24"/>
          <w:szCs w:val="24"/>
          <w:highlight w:val="none"/>
          <w:lang w:val="en-US" w:eastAsia="zh-CN"/>
        </w:rPr>
        <w:t xml:space="preserve">  定期开展风险源识别评估，将风险源列进重点巡查管理工作事项。</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10.4.2</w:t>
      </w:r>
      <w:r>
        <w:rPr>
          <w:rFonts w:hint="eastAsia" w:ascii="宋体" w:hAnsi="宋体" w:eastAsia="宋体" w:cs="宋体"/>
          <w:vanish w:val="0"/>
          <w:color w:val="auto"/>
          <w:sz w:val="24"/>
          <w:szCs w:val="24"/>
          <w:highlight w:val="none"/>
          <w:lang w:val="en-US" w:eastAsia="zh-CN"/>
        </w:rPr>
        <w:t xml:space="preserve">  应建立巡查管理制度，结合实际风险源和特点，制定周详的巡查计划及巡查路线，应具备多条可选巡查路线，择机换线巡查，确保安全。</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10.4.3</w:t>
      </w:r>
      <w:r>
        <w:rPr>
          <w:rFonts w:hint="eastAsia" w:ascii="宋体" w:hAnsi="宋体" w:eastAsia="宋体" w:cs="宋体"/>
          <w:vanish w:val="0"/>
          <w:color w:val="auto"/>
          <w:sz w:val="24"/>
          <w:szCs w:val="24"/>
          <w:highlight w:val="none"/>
          <w:lang w:val="en-US" w:eastAsia="zh-CN"/>
        </w:rPr>
        <w:t xml:space="preserve">  充分用好巡查设备并保证巡查记录完整。发现违法、违规行为及异常情况，应及时制止并立即通知相关部门。</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10.4.4</w:t>
      </w:r>
      <w:r>
        <w:rPr>
          <w:rFonts w:hint="eastAsia" w:ascii="宋体" w:hAnsi="宋体" w:eastAsia="宋体" w:cs="宋体"/>
          <w:vanish w:val="0"/>
          <w:color w:val="auto"/>
          <w:sz w:val="24"/>
          <w:szCs w:val="24"/>
          <w:highlight w:val="none"/>
          <w:lang w:val="en-US" w:eastAsia="zh-CN"/>
        </w:rPr>
        <w:t xml:space="preserve">  巡查过程中应与监控室保持联动，收到监控室发出的指令后，巡查人员应及时到达现场。</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10.4.5</w:t>
      </w:r>
      <w:r>
        <w:rPr>
          <w:rFonts w:hint="eastAsia" w:ascii="宋体" w:hAnsi="宋体" w:eastAsia="宋体" w:cs="宋体"/>
          <w:vanish w:val="0"/>
          <w:color w:val="auto"/>
          <w:sz w:val="24"/>
          <w:szCs w:val="24"/>
          <w:highlight w:val="none"/>
          <w:lang w:val="en-US" w:eastAsia="zh-CN"/>
        </w:rPr>
        <w:t xml:space="preserve">  物业公共区域巡查≥2次/日，重点区域应增加巡查频次。</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10.4.6</w:t>
      </w:r>
      <w:r>
        <w:rPr>
          <w:rFonts w:hint="eastAsia" w:ascii="宋体" w:hAnsi="宋体" w:eastAsia="宋体" w:cs="宋体"/>
          <w:vanish w:val="0"/>
          <w:color w:val="auto"/>
          <w:sz w:val="24"/>
          <w:szCs w:val="24"/>
          <w:highlight w:val="none"/>
          <w:lang w:val="en-US" w:eastAsia="zh-CN"/>
        </w:rPr>
        <w:t xml:space="preserve">  防恐重点区域巡查应观察空中是否有：空飘物体、无人机、异常响声、异常光源、大型飞鸟及动物，可疑人员或车辆等，发现可疑情况须及时报告并进行临时处置。</w:t>
      </w:r>
    </w:p>
    <w:p>
      <w:pPr>
        <w:keepNext w:val="0"/>
        <w:keepLines w:val="0"/>
        <w:pageBreakBefore w:val="0"/>
        <w:widowControl/>
        <w:kinsoku/>
        <w:wordWrap/>
        <w:overflowPunct/>
        <w:topLinePunct w:val="0"/>
        <w:autoSpaceDE/>
        <w:autoSpaceDN/>
        <w:bidi w:val="0"/>
        <w:adjustRightInd/>
        <w:snapToGrid w:val="0"/>
        <w:spacing w:line="360" w:lineRule="auto"/>
        <w:textAlignment w:val="auto"/>
        <w:outlineLvl w:val="2"/>
        <w:rPr>
          <w:rFonts w:hint="eastAsia" w:ascii="宋体" w:hAnsi="宋体" w:eastAsia="宋体" w:cs="宋体"/>
          <w:b w:val="0"/>
          <w:bCs w:val="0"/>
          <w:color w:val="auto"/>
          <w:sz w:val="21"/>
          <w:szCs w:val="21"/>
          <w:highlight w:val="none"/>
          <w:lang w:val="en-US" w:eastAsia="zh-CN"/>
        </w:rPr>
      </w:pPr>
      <w:bookmarkStart w:id="250" w:name="_Toc23173"/>
      <w:r>
        <w:rPr>
          <w:rFonts w:hint="eastAsia" w:ascii="Times New Roman" w:hAnsi="Times New Roman" w:eastAsia="宋体" w:cs="Times New Roman"/>
          <w:b/>
          <w:bCs/>
          <w:i w:val="0"/>
          <w:color w:val="auto"/>
          <w:kern w:val="2"/>
          <w:sz w:val="24"/>
          <w:szCs w:val="24"/>
          <w:highlight w:val="none"/>
          <w:lang w:val="en-US" w:eastAsia="zh-CN" w:bidi="ar-SA"/>
        </w:rPr>
        <w:t>10.4.7</w:t>
      </w:r>
      <w:r>
        <w:rPr>
          <w:rFonts w:hint="eastAsia" w:ascii="宋体" w:hAnsi="宋体" w:eastAsia="宋体" w:cs="宋体"/>
          <w:vanish w:val="0"/>
          <w:color w:val="auto"/>
          <w:sz w:val="24"/>
          <w:szCs w:val="24"/>
          <w:highlight w:val="none"/>
          <w:lang w:val="en-US" w:eastAsia="zh-CN"/>
        </w:rPr>
        <w:t xml:space="preserve">  秩序维护巡查要求见表10.4.7。</w:t>
      </w:r>
      <w:bookmarkEnd w:id="250"/>
    </w:p>
    <w:p>
      <w:pPr>
        <w:pStyle w:val="6"/>
        <w:tabs>
          <w:tab w:val="left" w:pos="420"/>
        </w:tabs>
        <w:spacing w:before="312" w:beforeLines="100" w:after="0" w:line="240" w:lineRule="auto"/>
        <w:jc w:val="center"/>
        <w:outlineLvl w:val="1"/>
        <w:rPr>
          <w:rFonts w:hint="eastAsia" w:ascii="Times New Roman" w:hAnsi="Times New Roman" w:eastAsia="黑体" w:cs="Times New Roman"/>
          <w:bCs w:val="0"/>
          <w:sz w:val="21"/>
          <w:szCs w:val="24"/>
          <w:highlight w:val="none"/>
          <w:lang w:val="en-US" w:eastAsia="zh-CN"/>
        </w:rPr>
      </w:pPr>
      <w:bookmarkStart w:id="251" w:name="_Toc27964"/>
      <w:r>
        <w:rPr>
          <w:rFonts w:hint="eastAsia" w:ascii="Times New Roman" w:hAnsi="Times New Roman" w:eastAsia="黑体" w:cs="Times New Roman"/>
          <w:bCs w:val="0"/>
          <w:sz w:val="21"/>
          <w:szCs w:val="24"/>
          <w:highlight w:val="none"/>
          <w:lang w:val="en-US" w:eastAsia="zh-CN"/>
        </w:rPr>
        <w:t>表1</w:t>
      </w:r>
      <w:r>
        <w:rPr>
          <w:rFonts w:hint="eastAsia" w:eastAsia="黑体" w:cs="Times New Roman"/>
          <w:bCs w:val="0"/>
          <w:sz w:val="21"/>
          <w:szCs w:val="24"/>
          <w:highlight w:val="none"/>
          <w:lang w:val="en-US" w:eastAsia="zh-CN"/>
        </w:rPr>
        <w:t>0</w:t>
      </w:r>
      <w:r>
        <w:rPr>
          <w:rFonts w:hint="eastAsia" w:ascii="Times New Roman" w:hAnsi="Times New Roman" w:eastAsia="黑体" w:cs="Times New Roman"/>
          <w:bCs w:val="0"/>
          <w:sz w:val="21"/>
          <w:szCs w:val="24"/>
          <w:highlight w:val="none"/>
          <w:lang w:val="en-US" w:eastAsia="zh-CN"/>
        </w:rPr>
        <w:t>.4.7  项目主要分类服务标准—秩序维护巡查</w:t>
      </w:r>
      <w:bookmarkEnd w:id="251"/>
    </w:p>
    <w:tbl>
      <w:tblPr>
        <w:tblStyle w:val="38"/>
        <w:tblW w:w="836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1703"/>
        <w:gridCol w:w="1768"/>
        <w:gridCol w:w="1685"/>
        <w:gridCol w:w="13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15" w:type="dxa"/>
            <w:tcBorders>
              <w:bottom w:val="single" w:color="000000" w:sz="12"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服务项目</w:t>
            </w:r>
          </w:p>
        </w:tc>
        <w:tc>
          <w:tcPr>
            <w:tcW w:w="1703" w:type="dxa"/>
            <w:tcBorders>
              <w:bottom w:val="single" w:color="000000" w:sz="12"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电力调度大楼</w:t>
            </w:r>
          </w:p>
        </w:tc>
        <w:tc>
          <w:tcPr>
            <w:tcW w:w="1768" w:type="dxa"/>
            <w:tcBorders>
              <w:bottom w:val="single" w:color="000000" w:sz="12"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2"/>
                <w:sz w:val="18"/>
                <w:szCs w:val="18"/>
                <w:highlight w:val="none"/>
                <w:u w:val="none"/>
                <w:lang w:val="en-US" w:eastAsia="zh-CN" w:bidi="ar-SA"/>
              </w:rPr>
              <w:t>发电厂</w:t>
            </w:r>
          </w:p>
        </w:tc>
        <w:tc>
          <w:tcPr>
            <w:tcW w:w="1685" w:type="dxa"/>
            <w:tcBorders>
              <w:bottom w:val="single" w:color="000000" w:sz="12" w:space="0"/>
            </w:tcBorders>
            <w:noWrap/>
            <w:vAlign w:val="center"/>
          </w:tcPr>
          <w:p>
            <w:pPr>
              <w:keepNext w:val="0"/>
              <w:keepLines w:val="0"/>
              <w:widowControl/>
              <w:suppressLineNumbers w:val="0"/>
              <w:jc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换流站、变电站</w:t>
            </w:r>
          </w:p>
        </w:tc>
        <w:tc>
          <w:tcPr>
            <w:tcW w:w="1395" w:type="dxa"/>
            <w:tcBorders>
              <w:bottom w:val="single" w:color="000000" w:sz="12" w:space="0"/>
            </w:tcBorders>
            <w:noWrap/>
            <w:vAlign w:val="center"/>
          </w:tcPr>
          <w:p>
            <w:pPr>
              <w:keepNext w:val="0"/>
              <w:keepLines w:val="0"/>
              <w:widowControl/>
              <w:suppressLineNumbers w:val="0"/>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仓储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815" w:type="dxa"/>
            <w:tcBorders>
              <w:tl2br w:val="nil"/>
              <w:tr2bl w:val="nil"/>
            </w:tcBorders>
            <w:noWrap/>
            <w:vAlign w:val="center"/>
          </w:tcPr>
          <w:p>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bidi="ar"/>
              </w:rPr>
              <w:t>重点区域、重点部位巡查频次</w:t>
            </w:r>
          </w:p>
        </w:tc>
        <w:tc>
          <w:tcPr>
            <w:tcW w:w="1703" w:type="dxa"/>
            <w:tcBorders>
              <w:tl2br w:val="nil"/>
              <w:tr2bl w:val="nil"/>
            </w:tcBorders>
            <w:noWrap/>
            <w:vAlign w:val="center"/>
          </w:tcPr>
          <w:p>
            <w:pPr>
              <w:keepNext w:val="0"/>
              <w:keepLines w:val="0"/>
              <w:widowControl/>
              <w:suppressLineNumbers w:val="0"/>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bidi="ar"/>
              </w:rPr>
              <w:t>≥</w:t>
            </w:r>
            <w:r>
              <w:rPr>
                <w:rFonts w:hint="eastAsia" w:ascii="宋体" w:hAnsi="宋体" w:cs="宋体"/>
                <w:color w:val="auto"/>
                <w:kern w:val="0"/>
                <w:sz w:val="18"/>
                <w:szCs w:val="18"/>
                <w:highlight w:val="none"/>
                <w:lang w:val="en-US" w:eastAsia="zh-CN" w:bidi="ar"/>
              </w:rPr>
              <w:t>6</w:t>
            </w:r>
            <w:r>
              <w:rPr>
                <w:rFonts w:hint="eastAsia" w:ascii="宋体" w:hAnsi="宋体" w:eastAsia="宋体" w:cs="宋体"/>
                <w:i w:val="0"/>
                <w:iCs w:val="0"/>
                <w:color w:val="auto"/>
                <w:kern w:val="2"/>
                <w:sz w:val="18"/>
                <w:szCs w:val="18"/>
                <w:highlight w:val="none"/>
                <w:u w:val="none"/>
                <w:lang w:val="en-US" w:eastAsia="zh-CN" w:bidi="ar-SA"/>
              </w:rPr>
              <w:t>次/日</w:t>
            </w:r>
          </w:p>
        </w:tc>
        <w:tc>
          <w:tcPr>
            <w:tcW w:w="1768" w:type="dxa"/>
            <w:tcBorders>
              <w:tl2br w:val="nil"/>
              <w:tr2bl w:val="nil"/>
            </w:tcBorders>
            <w:noWrap/>
            <w:vAlign w:val="center"/>
          </w:tcPr>
          <w:p>
            <w:pPr>
              <w:keepNext w:val="0"/>
              <w:keepLines w:val="0"/>
              <w:widowControl/>
              <w:suppressLineNumbers w:val="0"/>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bidi="ar"/>
              </w:rPr>
              <w:t>≥</w:t>
            </w:r>
            <w:r>
              <w:rPr>
                <w:rFonts w:hint="eastAsia" w:ascii="宋体" w:hAnsi="宋体" w:cs="宋体"/>
                <w:i w:val="0"/>
                <w:iCs w:val="0"/>
                <w:color w:val="auto"/>
                <w:kern w:val="2"/>
                <w:sz w:val="18"/>
                <w:szCs w:val="18"/>
                <w:highlight w:val="none"/>
                <w:u w:val="none"/>
                <w:lang w:val="en-US" w:eastAsia="zh-CN" w:bidi="ar-SA"/>
              </w:rPr>
              <w:t>6</w:t>
            </w:r>
            <w:r>
              <w:rPr>
                <w:rFonts w:hint="eastAsia" w:ascii="宋体" w:hAnsi="宋体" w:eastAsia="宋体" w:cs="宋体"/>
                <w:i w:val="0"/>
                <w:iCs w:val="0"/>
                <w:color w:val="auto"/>
                <w:kern w:val="2"/>
                <w:sz w:val="18"/>
                <w:szCs w:val="18"/>
                <w:highlight w:val="none"/>
                <w:u w:val="none"/>
                <w:lang w:val="en-US" w:eastAsia="zh-CN" w:bidi="ar-SA"/>
              </w:rPr>
              <w:t>次/日</w:t>
            </w:r>
          </w:p>
        </w:tc>
        <w:tc>
          <w:tcPr>
            <w:tcW w:w="1685" w:type="dxa"/>
            <w:tcBorders>
              <w:tl2br w:val="nil"/>
              <w:tr2bl w:val="nil"/>
            </w:tcBorders>
            <w:noWrap/>
            <w:vAlign w:val="center"/>
          </w:tcPr>
          <w:p>
            <w:pPr>
              <w:keepNext w:val="0"/>
              <w:keepLines w:val="0"/>
              <w:widowControl/>
              <w:suppressLineNumbers w:val="0"/>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bidi="ar"/>
              </w:rPr>
              <w:t>≥</w:t>
            </w:r>
            <w:r>
              <w:rPr>
                <w:rFonts w:hint="eastAsia" w:ascii="宋体" w:hAnsi="宋体" w:cs="宋体"/>
                <w:i w:val="0"/>
                <w:iCs w:val="0"/>
                <w:color w:val="auto"/>
                <w:kern w:val="2"/>
                <w:sz w:val="18"/>
                <w:szCs w:val="18"/>
                <w:highlight w:val="none"/>
                <w:u w:val="none"/>
                <w:lang w:val="en-US" w:eastAsia="zh-CN" w:bidi="ar-SA"/>
              </w:rPr>
              <w:t>6</w:t>
            </w:r>
            <w:r>
              <w:rPr>
                <w:rFonts w:hint="eastAsia" w:ascii="宋体" w:hAnsi="宋体" w:eastAsia="宋体" w:cs="宋体"/>
                <w:i w:val="0"/>
                <w:iCs w:val="0"/>
                <w:color w:val="auto"/>
                <w:kern w:val="2"/>
                <w:sz w:val="18"/>
                <w:szCs w:val="18"/>
                <w:highlight w:val="none"/>
                <w:u w:val="none"/>
                <w:lang w:val="en-US" w:eastAsia="zh-CN" w:bidi="ar-SA"/>
              </w:rPr>
              <w:t>次/日</w:t>
            </w:r>
          </w:p>
        </w:tc>
        <w:tc>
          <w:tcPr>
            <w:tcW w:w="1395" w:type="dxa"/>
            <w:tcBorders>
              <w:tl2br w:val="nil"/>
              <w:tr2bl w:val="nil"/>
            </w:tcBorders>
            <w:noWrap/>
            <w:vAlign w:val="center"/>
          </w:tcPr>
          <w:p>
            <w:pPr>
              <w:keepNext w:val="0"/>
              <w:keepLines w:val="0"/>
              <w:widowControl/>
              <w:suppressLineNumbers w:val="0"/>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w:t>
            </w:r>
            <w:r>
              <w:rPr>
                <w:rFonts w:hint="eastAsia" w:ascii="宋体" w:hAnsi="宋体" w:eastAsia="宋体" w:cs="宋体"/>
                <w:i w:val="0"/>
                <w:iCs w:val="0"/>
                <w:color w:val="auto"/>
                <w:kern w:val="2"/>
                <w:sz w:val="18"/>
                <w:szCs w:val="18"/>
                <w:highlight w:val="none"/>
                <w:u w:val="none"/>
                <w:lang w:val="en-US" w:eastAsia="zh-CN" w:bidi="ar-SA"/>
              </w:rPr>
              <w:t>6次/日</w:t>
            </w:r>
          </w:p>
        </w:tc>
      </w:tr>
    </w:tbl>
    <w:p>
      <w:pPr>
        <w:rPr>
          <w:rFonts w:hint="default"/>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252" w:name="_Toc32226"/>
      <w:bookmarkStart w:id="253" w:name="_Toc29648"/>
      <w:r>
        <w:rPr>
          <w:rFonts w:hint="eastAsia" w:ascii="宋体" w:hAnsi="宋体" w:eastAsia="宋体" w:cs="宋体"/>
          <w:b/>
          <w:bCs/>
          <w:color w:val="auto"/>
          <w:sz w:val="24"/>
          <w:szCs w:val="24"/>
          <w:highlight w:val="none"/>
          <w:lang w:val="en-US" w:eastAsia="zh-CN"/>
        </w:rPr>
        <w:t>10.5  消防/监控管理</w:t>
      </w:r>
      <w:bookmarkEnd w:id="252"/>
      <w:bookmarkEnd w:id="253"/>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10.5.1</w:t>
      </w:r>
      <w:r>
        <w:rPr>
          <w:rFonts w:hint="eastAsia" w:ascii="宋体" w:hAnsi="宋体" w:eastAsia="宋体" w:cs="宋体"/>
          <w:vanish w:val="0"/>
          <w:color w:val="auto"/>
          <w:sz w:val="24"/>
          <w:szCs w:val="24"/>
          <w:highlight w:val="none"/>
          <w:lang w:val="en-US" w:eastAsia="zh-CN"/>
        </w:rPr>
        <w:t xml:space="preserve">  应建立消防安全管理制度、消防安全值班制度、</w:t>
      </w:r>
      <w:r>
        <w:rPr>
          <w:rFonts w:hint="eastAsia" w:ascii="宋体" w:hAnsi="宋体" w:eastAsia="宋体" w:cs="宋体"/>
          <w:vanish w:val="0"/>
          <w:color w:val="auto"/>
          <w:sz w:val="24"/>
          <w:szCs w:val="24"/>
          <w:highlight w:val="none"/>
          <w:lang w:eastAsia="zh-CN"/>
        </w:rPr>
        <w:t>分系统控制逻辑说明、</w:t>
      </w:r>
      <w:r>
        <w:rPr>
          <w:rFonts w:hint="eastAsia" w:ascii="宋体" w:hAnsi="宋体" w:eastAsia="宋体" w:cs="宋体"/>
          <w:vanish w:val="0"/>
          <w:color w:val="auto"/>
          <w:sz w:val="24"/>
          <w:szCs w:val="24"/>
          <w:highlight w:val="none"/>
          <w:lang w:val="en-US" w:eastAsia="zh-CN"/>
        </w:rPr>
        <w:t>消防</w:t>
      </w:r>
      <w:r>
        <w:rPr>
          <w:rFonts w:hint="eastAsia" w:ascii="宋体" w:hAnsi="宋体" w:eastAsia="宋体" w:cs="宋体"/>
          <w:vanish w:val="0"/>
          <w:color w:val="auto"/>
          <w:sz w:val="24"/>
          <w:szCs w:val="24"/>
          <w:highlight w:val="none"/>
          <w:lang w:eastAsia="zh-CN"/>
        </w:rPr>
        <w:t>系统操作规程</w:t>
      </w:r>
      <w:r>
        <w:rPr>
          <w:rFonts w:hint="eastAsia" w:ascii="宋体" w:hAnsi="宋体" w:eastAsia="宋体" w:cs="宋体"/>
          <w:vanish w:val="0"/>
          <w:color w:val="auto"/>
          <w:sz w:val="24"/>
          <w:szCs w:val="24"/>
          <w:highlight w:val="none"/>
          <w:lang w:val="en-US" w:eastAsia="zh-CN"/>
        </w:rPr>
        <w:t>、</w:t>
      </w:r>
      <w:r>
        <w:rPr>
          <w:rFonts w:hint="eastAsia" w:ascii="宋体" w:hAnsi="宋体" w:eastAsia="宋体" w:cs="宋体"/>
          <w:vanish w:val="0"/>
          <w:color w:val="auto"/>
          <w:sz w:val="24"/>
          <w:szCs w:val="24"/>
          <w:highlight w:val="none"/>
          <w:lang w:eastAsia="zh-CN"/>
        </w:rPr>
        <w:t>设备时钟校对制度、</w:t>
      </w:r>
      <w:r>
        <w:rPr>
          <w:rFonts w:hint="eastAsia" w:ascii="宋体" w:hAnsi="宋体" w:eastAsia="宋体" w:cs="宋体"/>
          <w:vanish w:val="0"/>
          <w:color w:val="auto"/>
          <w:sz w:val="24"/>
          <w:szCs w:val="24"/>
          <w:highlight w:val="none"/>
          <w:lang w:val="en-US" w:eastAsia="zh-CN"/>
        </w:rPr>
        <w:t>灭火和应急流程及疏散预案。</w:t>
      </w:r>
      <w:r>
        <w:rPr>
          <w:rFonts w:hint="eastAsia" w:ascii="宋体" w:hAnsi="宋体" w:eastAsia="宋体" w:cs="宋体"/>
          <w:vanish w:val="0"/>
          <w:color w:val="auto"/>
          <w:sz w:val="24"/>
          <w:szCs w:val="24"/>
          <w:highlight w:val="none"/>
          <w:lang w:eastAsia="zh-CN"/>
        </w:rPr>
        <w:t>值班记录等文件资料</w:t>
      </w:r>
      <w:r>
        <w:rPr>
          <w:rFonts w:hint="eastAsia" w:ascii="宋体" w:hAnsi="宋体" w:eastAsia="宋体" w:cs="宋体"/>
          <w:vanish w:val="0"/>
          <w:color w:val="auto"/>
          <w:sz w:val="24"/>
          <w:szCs w:val="24"/>
          <w:highlight w:val="none"/>
          <w:lang w:val="en-US" w:eastAsia="zh-CN"/>
        </w:rPr>
        <w:t>应</w:t>
      </w:r>
      <w:r>
        <w:rPr>
          <w:rFonts w:hint="eastAsia" w:ascii="宋体" w:hAnsi="宋体" w:eastAsia="宋体" w:cs="宋体"/>
          <w:vanish w:val="0"/>
          <w:color w:val="auto"/>
          <w:sz w:val="24"/>
          <w:szCs w:val="24"/>
          <w:highlight w:val="none"/>
          <w:lang w:eastAsia="zh-CN"/>
        </w:rPr>
        <w:t>完整齐全。</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10.5.2</w:t>
      </w:r>
      <w:r>
        <w:rPr>
          <w:rFonts w:hint="eastAsia" w:ascii="宋体" w:hAnsi="宋体" w:eastAsia="宋体" w:cs="宋体"/>
          <w:vanish w:val="0"/>
          <w:color w:val="auto"/>
          <w:sz w:val="24"/>
          <w:szCs w:val="24"/>
          <w:highlight w:val="none"/>
          <w:lang w:val="en-US" w:eastAsia="zh-CN"/>
        </w:rPr>
        <w:t xml:space="preserve">  应建立消防责任制，明确消防安全责任人和消防安全管理人；针对同一物业不同权属而同一消防系统的物业，要明确消防责任，另行签订《消防安全责任界定书》。</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10.5.3</w:t>
      </w:r>
      <w:r>
        <w:rPr>
          <w:rFonts w:hint="eastAsia" w:ascii="宋体" w:hAnsi="宋体" w:eastAsia="宋体" w:cs="宋体"/>
          <w:vanish w:val="0"/>
          <w:color w:val="auto"/>
          <w:sz w:val="24"/>
          <w:szCs w:val="24"/>
          <w:highlight w:val="none"/>
          <w:lang w:val="en-US" w:eastAsia="zh-CN"/>
        </w:rPr>
        <w:t xml:space="preserve">  消防器材和设施应实行专人专管；消防灭火器、水带等每月应该进行检查并建立设施器材台帐；消防系统应</w:t>
      </w:r>
      <w:r>
        <w:rPr>
          <w:rFonts w:hint="eastAsia" w:ascii="宋体" w:hAnsi="宋体" w:cs="宋体"/>
          <w:color w:val="auto"/>
          <w:sz w:val="24"/>
          <w:szCs w:val="24"/>
          <w:highlight w:val="none"/>
          <w:lang w:val="en-US" w:eastAsia="zh-CN"/>
        </w:rPr>
        <w:t>符合现行国家标准《</w:t>
      </w:r>
      <w:r>
        <w:rPr>
          <w:rFonts w:hint="eastAsia" w:ascii="宋体" w:hAnsi="宋体" w:eastAsia="宋体" w:cs="宋体"/>
          <w:color w:val="auto"/>
          <w:sz w:val="24"/>
          <w:szCs w:val="24"/>
          <w:highlight w:val="none"/>
          <w:lang w:val="en-US" w:eastAsia="zh-CN"/>
        </w:rPr>
        <w:t>建筑消防设施的维护管理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GB 25201</w:t>
      </w:r>
      <w:r>
        <w:rPr>
          <w:rFonts w:hint="eastAsia" w:ascii="宋体" w:hAnsi="宋体" w:eastAsia="宋体" w:cs="宋体"/>
          <w:vanish w:val="0"/>
          <w:color w:val="auto"/>
          <w:sz w:val="24"/>
          <w:szCs w:val="24"/>
          <w:highlight w:val="none"/>
          <w:lang w:val="en-US" w:eastAsia="zh-CN"/>
        </w:rPr>
        <w:t>的规定每年进行</w:t>
      </w:r>
      <w:r>
        <w:rPr>
          <w:rFonts w:hint="eastAsia" w:ascii="宋体" w:hAnsi="宋体" w:cs="宋体"/>
          <w:vanish w:val="0"/>
          <w:color w:val="auto"/>
          <w:sz w:val="24"/>
          <w:szCs w:val="24"/>
          <w:highlight w:val="none"/>
          <w:lang w:val="en-US" w:eastAsia="zh-CN"/>
        </w:rPr>
        <w:t>≥</w:t>
      </w:r>
      <w:r>
        <w:rPr>
          <w:rFonts w:hint="eastAsia" w:ascii="宋体" w:hAnsi="宋体" w:eastAsia="宋体" w:cs="宋体"/>
          <w:vanish w:val="0"/>
          <w:color w:val="auto"/>
          <w:sz w:val="24"/>
          <w:szCs w:val="24"/>
          <w:highlight w:val="none"/>
          <w:lang w:val="en-US" w:eastAsia="zh-CN"/>
        </w:rPr>
        <w:t>1次全面检测，确保消防系统处理良好的工作状态。</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10.5.4</w:t>
      </w:r>
      <w:r>
        <w:rPr>
          <w:rFonts w:hint="eastAsia" w:ascii="宋体" w:hAnsi="宋体" w:eastAsia="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eastAsia="zh-CN"/>
        </w:rPr>
        <w:t>消防控制室应由其管理单位实行</w:t>
      </w:r>
      <w:r>
        <w:rPr>
          <w:rFonts w:hint="eastAsia" w:ascii="宋体" w:hAnsi="宋体" w:eastAsia="宋体" w:cs="宋体"/>
          <w:vanish w:val="0"/>
          <w:color w:val="auto"/>
          <w:sz w:val="24"/>
          <w:szCs w:val="24"/>
          <w:highlight w:val="none"/>
          <w:lang w:val="en-US" w:eastAsia="zh-CN"/>
        </w:rPr>
        <w:t>24</w:t>
      </w:r>
      <w:r>
        <w:rPr>
          <w:rFonts w:hint="eastAsia" w:ascii="宋体" w:hAnsi="宋体" w:eastAsia="宋体" w:cs="宋体"/>
          <w:vanish w:val="0"/>
          <w:color w:val="auto"/>
          <w:sz w:val="24"/>
          <w:szCs w:val="24"/>
          <w:highlight w:val="none"/>
          <w:lang w:eastAsia="zh-CN"/>
        </w:rPr>
        <w:t>小时值班制度，每班</w:t>
      </w:r>
      <w:r>
        <w:rPr>
          <w:rFonts w:hint="eastAsia" w:ascii="宋体" w:hAnsi="宋体" w:cs="宋体"/>
          <w:vanish w:val="0"/>
          <w:color w:val="auto"/>
          <w:sz w:val="24"/>
          <w:szCs w:val="24"/>
          <w:highlight w:val="none"/>
          <w:lang w:val="en-US" w:eastAsia="zh-CN"/>
        </w:rPr>
        <w:t>≥</w:t>
      </w:r>
      <w:r>
        <w:rPr>
          <w:rFonts w:hint="eastAsia" w:ascii="宋体" w:hAnsi="宋体" w:eastAsia="宋体" w:cs="宋体"/>
          <w:vanish w:val="0"/>
          <w:color w:val="auto"/>
          <w:sz w:val="24"/>
          <w:szCs w:val="24"/>
          <w:highlight w:val="none"/>
          <w:lang w:val="en-US" w:eastAsia="zh-CN"/>
        </w:rPr>
        <w:t>2</w:t>
      </w:r>
      <w:r>
        <w:rPr>
          <w:rFonts w:hint="eastAsia" w:ascii="宋体" w:hAnsi="宋体" w:eastAsia="宋体" w:cs="宋体"/>
          <w:vanish w:val="0"/>
          <w:color w:val="auto"/>
          <w:sz w:val="24"/>
          <w:szCs w:val="24"/>
          <w:highlight w:val="none"/>
          <w:lang w:eastAsia="zh-CN"/>
        </w:rPr>
        <w:t>人；能够通过城市消防远程监控系统实现远程操作消防控制室所有控制功能的，每班</w:t>
      </w:r>
      <w:r>
        <w:rPr>
          <w:rFonts w:hint="eastAsia" w:ascii="宋体" w:hAnsi="宋体" w:cs="宋体"/>
          <w:vanish w:val="0"/>
          <w:color w:val="auto"/>
          <w:sz w:val="24"/>
          <w:szCs w:val="24"/>
          <w:highlight w:val="none"/>
          <w:lang w:val="en-US" w:eastAsia="zh-CN"/>
        </w:rPr>
        <w:t>≥</w:t>
      </w:r>
      <w:r>
        <w:rPr>
          <w:rFonts w:hint="eastAsia" w:ascii="宋体" w:hAnsi="宋体" w:eastAsia="宋体" w:cs="宋体"/>
          <w:vanish w:val="0"/>
          <w:color w:val="auto"/>
          <w:sz w:val="24"/>
          <w:szCs w:val="24"/>
          <w:highlight w:val="none"/>
          <w:lang w:val="en-US" w:eastAsia="zh-CN"/>
        </w:rPr>
        <w:t>1</w:t>
      </w:r>
      <w:r>
        <w:rPr>
          <w:rFonts w:hint="eastAsia" w:ascii="宋体" w:hAnsi="宋体" w:eastAsia="宋体" w:cs="宋体"/>
          <w:vanish w:val="0"/>
          <w:color w:val="auto"/>
          <w:sz w:val="24"/>
          <w:szCs w:val="24"/>
          <w:highlight w:val="none"/>
          <w:lang w:eastAsia="zh-CN"/>
        </w:rPr>
        <w:t>人。消防控制室值班操作人员应依法取得相应等级的消防行业特有工种职业资格证书，熟练掌握火警处置程序和要求，依法履行相关岗位职责。</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10.5.5</w:t>
      </w:r>
      <w:r>
        <w:rPr>
          <w:rFonts w:hint="eastAsia" w:ascii="宋体" w:hAnsi="宋体" w:eastAsia="宋体" w:cs="宋体"/>
          <w:vanish w:val="0"/>
          <w:color w:val="auto"/>
          <w:sz w:val="24"/>
          <w:szCs w:val="24"/>
          <w:highlight w:val="none"/>
          <w:lang w:val="en-US" w:eastAsia="zh-CN"/>
        </w:rPr>
        <w:t xml:space="preserve">  应建立志愿消防队，每半年应组织</w:t>
      </w:r>
      <w:r>
        <w:rPr>
          <w:rFonts w:hint="eastAsia" w:ascii="宋体" w:hAnsi="宋体" w:cs="宋体"/>
          <w:vanish w:val="0"/>
          <w:color w:val="auto"/>
          <w:sz w:val="24"/>
          <w:szCs w:val="24"/>
          <w:highlight w:val="none"/>
          <w:lang w:val="en-US" w:eastAsia="zh-CN"/>
        </w:rPr>
        <w:t>≥</w:t>
      </w:r>
      <w:r>
        <w:rPr>
          <w:rFonts w:hint="eastAsia" w:ascii="宋体" w:hAnsi="宋体" w:eastAsia="宋体" w:cs="宋体"/>
          <w:vanish w:val="0"/>
          <w:color w:val="auto"/>
          <w:sz w:val="24"/>
          <w:szCs w:val="24"/>
          <w:highlight w:val="none"/>
          <w:lang w:val="en-US" w:eastAsia="zh-CN"/>
        </w:rPr>
        <w:t>1次以上消防设施、器材使用、灭火和安全疏 散为重点的消防宣传和演练活动，消防重点单位应符合法律规定的要求。</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10.5.6</w:t>
      </w:r>
      <w:r>
        <w:rPr>
          <w:rFonts w:hint="eastAsia" w:ascii="宋体" w:hAnsi="宋体" w:eastAsia="宋体" w:cs="宋体"/>
          <w:vanish w:val="0"/>
          <w:color w:val="auto"/>
          <w:sz w:val="24"/>
          <w:szCs w:val="24"/>
          <w:highlight w:val="none"/>
          <w:lang w:val="en-US" w:eastAsia="zh-CN"/>
        </w:rPr>
        <w:t xml:space="preserve">  每月应开展</w:t>
      </w:r>
      <w:r>
        <w:rPr>
          <w:rFonts w:hint="eastAsia" w:ascii="宋体" w:hAnsi="宋体" w:cs="宋体"/>
          <w:vanish w:val="0"/>
          <w:color w:val="auto"/>
          <w:sz w:val="24"/>
          <w:szCs w:val="24"/>
          <w:highlight w:val="none"/>
          <w:lang w:val="en-US" w:eastAsia="zh-CN"/>
        </w:rPr>
        <w:t>≥</w:t>
      </w:r>
      <w:r>
        <w:rPr>
          <w:rFonts w:hint="eastAsia" w:ascii="宋体" w:hAnsi="宋体" w:eastAsia="宋体" w:cs="宋体"/>
          <w:vanish w:val="0"/>
          <w:color w:val="auto"/>
          <w:sz w:val="24"/>
          <w:szCs w:val="24"/>
          <w:highlight w:val="none"/>
          <w:lang w:val="en-US" w:eastAsia="zh-CN"/>
        </w:rPr>
        <w:t>1次物业服务人员灭火、救生或逃生技能训练。</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10.5.7</w:t>
      </w:r>
      <w:r>
        <w:rPr>
          <w:rFonts w:hint="eastAsia" w:ascii="宋体" w:hAnsi="宋体" w:eastAsia="宋体" w:cs="宋体"/>
          <w:vanish w:val="0"/>
          <w:color w:val="auto"/>
          <w:sz w:val="24"/>
          <w:szCs w:val="24"/>
          <w:highlight w:val="none"/>
          <w:lang w:val="en-US" w:eastAsia="zh-CN"/>
        </w:rPr>
        <w:t xml:space="preserve">  发生火情时,应立即启动火警和应急疏散预案,拨打119火警电话,组织安全疏散,实施初起火灾扑救。</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10.5.8</w:t>
      </w:r>
      <w:r>
        <w:rPr>
          <w:rFonts w:hint="eastAsia" w:ascii="宋体" w:hAnsi="宋体" w:eastAsia="宋体" w:cs="宋体"/>
          <w:vanish w:val="0"/>
          <w:color w:val="auto"/>
          <w:sz w:val="24"/>
          <w:szCs w:val="24"/>
          <w:highlight w:val="none"/>
          <w:lang w:val="en-US" w:eastAsia="zh-CN"/>
        </w:rPr>
        <w:t xml:space="preserve">  每月</w:t>
      </w:r>
      <w:r>
        <w:rPr>
          <w:rFonts w:hint="eastAsia" w:ascii="宋体" w:hAnsi="宋体" w:cs="宋体"/>
          <w:vanish w:val="0"/>
          <w:color w:val="auto"/>
          <w:sz w:val="24"/>
          <w:szCs w:val="24"/>
          <w:highlight w:val="none"/>
          <w:lang w:val="en-US" w:eastAsia="zh-CN"/>
        </w:rPr>
        <w:t>≥</w:t>
      </w:r>
      <w:r>
        <w:rPr>
          <w:rFonts w:hint="eastAsia" w:ascii="宋体" w:hAnsi="宋体" w:eastAsia="宋体" w:cs="宋体"/>
          <w:vanish w:val="0"/>
          <w:color w:val="auto"/>
          <w:sz w:val="24"/>
          <w:szCs w:val="24"/>
          <w:highlight w:val="none"/>
          <w:lang w:eastAsia="zh-CN"/>
        </w:rPr>
        <w:t>1次</w:t>
      </w:r>
      <w:r>
        <w:rPr>
          <w:rFonts w:hint="eastAsia" w:ascii="宋体" w:hAnsi="宋体" w:eastAsia="宋体" w:cs="宋体"/>
          <w:vanish w:val="0"/>
          <w:color w:val="auto"/>
          <w:sz w:val="24"/>
          <w:szCs w:val="24"/>
          <w:highlight w:val="none"/>
          <w:lang w:val="en-US" w:eastAsia="zh-CN"/>
        </w:rPr>
        <w:t>针对物业</w:t>
      </w:r>
      <w:r>
        <w:rPr>
          <w:rFonts w:hint="eastAsia" w:ascii="宋体" w:hAnsi="宋体" w:eastAsia="宋体" w:cs="宋体"/>
          <w:vanish w:val="0"/>
          <w:color w:val="auto"/>
          <w:sz w:val="24"/>
          <w:szCs w:val="24"/>
          <w:highlight w:val="none"/>
          <w:lang w:eastAsia="zh-CN"/>
        </w:rPr>
        <w:t>包括消防水源、疏散通道、应急照明、灭火器材、消防车</w:t>
      </w:r>
      <w:r>
        <w:rPr>
          <w:rFonts w:hint="eastAsia" w:ascii="宋体" w:hAnsi="宋体" w:eastAsia="宋体" w:cs="宋体"/>
          <w:vanish w:val="0"/>
          <w:color w:val="auto"/>
          <w:sz w:val="24"/>
          <w:szCs w:val="24"/>
          <w:highlight w:val="none"/>
          <w:lang w:val="en-US" w:eastAsia="zh-CN"/>
        </w:rPr>
        <w:t>及车</w:t>
      </w:r>
      <w:r>
        <w:rPr>
          <w:rFonts w:hint="eastAsia" w:ascii="宋体" w:hAnsi="宋体" w:eastAsia="宋体" w:cs="宋体"/>
          <w:vanish w:val="0"/>
          <w:color w:val="auto"/>
          <w:sz w:val="24"/>
          <w:szCs w:val="24"/>
          <w:highlight w:val="none"/>
          <w:lang w:eastAsia="zh-CN"/>
        </w:rPr>
        <w:t>道、消防值班室值班人员应急操作知识、用火、用电进行防火</w:t>
      </w:r>
      <w:r>
        <w:rPr>
          <w:rFonts w:hint="eastAsia" w:ascii="宋体" w:hAnsi="宋体" w:eastAsia="宋体" w:cs="宋体"/>
          <w:vanish w:val="0"/>
          <w:color w:val="auto"/>
          <w:sz w:val="24"/>
          <w:szCs w:val="24"/>
          <w:highlight w:val="none"/>
          <w:lang w:val="en-US" w:eastAsia="zh-CN"/>
        </w:rPr>
        <w:t>安全</w:t>
      </w:r>
      <w:r>
        <w:rPr>
          <w:rFonts w:hint="eastAsia" w:ascii="宋体" w:hAnsi="宋体" w:eastAsia="宋体" w:cs="宋体"/>
          <w:vanish w:val="0"/>
          <w:color w:val="auto"/>
          <w:sz w:val="24"/>
          <w:szCs w:val="24"/>
          <w:highlight w:val="none"/>
          <w:lang w:eastAsia="zh-CN"/>
        </w:rPr>
        <w:t>检查。</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10.5.9</w:t>
      </w:r>
      <w:r>
        <w:rPr>
          <w:rFonts w:hint="eastAsia" w:ascii="宋体" w:hAnsi="宋体" w:eastAsia="宋体" w:cs="宋体"/>
          <w:vanish w:val="0"/>
          <w:color w:val="auto"/>
          <w:sz w:val="24"/>
          <w:szCs w:val="24"/>
          <w:highlight w:val="none"/>
          <w:lang w:val="en-US" w:eastAsia="zh-CN"/>
        </w:rPr>
        <w:t xml:space="preserve">  消防设施管理</w:t>
      </w:r>
      <w:r>
        <w:rPr>
          <w:rFonts w:hint="eastAsia" w:ascii="宋体" w:hAnsi="宋体" w:cs="宋体"/>
          <w:color w:val="auto"/>
          <w:sz w:val="24"/>
          <w:szCs w:val="24"/>
          <w:highlight w:val="none"/>
          <w:lang w:val="en-US" w:eastAsia="zh-CN"/>
        </w:rPr>
        <w:t>应符合现行国家标准《</w:t>
      </w:r>
      <w:r>
        <w:rPr>
          <w:rFonts w:hint="eastAsia" w:ascii="宋体" w:hAnsi="宋体" w:eastAsia="宋体" w:cs="宋体"/>
          <w:color w:val="auto"/>
          <w:sz w:val="24"/>
          <w:szCs w:val="24"/>
          <w:highlight w:val="none"/>
          <w:lang w:val="en-US" w:eastAsia="zh-CN"/>
        </w:rPr>
        <w:t>建筑消防设施的维护管理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GB 25201</w:t>
      </w:r>
      <w:r>
        <w:rPr>
          <w:rFonts w:hint="eastAsia" w:ascii="宋体" w:hAnsi="宋体" w:eastAsia="宋体" w:cs="宋体"/>
          <w:vanish w:val="0"/>
          <w:color w:val="auto"/>
          <w:sz w:val="24"/>
          <w:szCs w:val="24"/>
          <w:highlight w:val="none"/>
          <w:lang w:val="en-US" w:eastAsia="zh-CN"/>
        </w:rPr>
        <w:t>的规定，定期巡查，发现问题及时组织处理。</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10.5.10</w:t>
      </w:r>
      <w:r>
        <w:rPr>
          <w:rFonts w:hint="eastAsia" w:ascii="宋体" w:hAnsi="宋体" w:eastAsia="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eastAsia="zh-CN"/>
        </w:rPr>
        <w:t>保障疏散通道、安全出口、消防车通道畅通。确保避难设施、消防车登高操作场地不被占用、堵塞、封闭，保证防火防烟分区、防火间距符合消防技术标准。</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10.5.11</w:t>
      </w:r>
      <w:r>
        <w:rPr>
          <w:rFonts w:hint="eastAsia" w:ascii="宋体" w:hAnsi="宋体" w:eastAsia="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eastAsia="zh-CN"/>
        </w:rPr>
        <w:t>对电动自行车、电动摩托车和电动汽车停放</w:t>
      </w:r>
      <w:r>
        <w:rPr>
          <w:rFonts w:hint="eastAsia" w:ascii="宋体" w:hAnsi="宋体" w:eastAsia="宋体" w:cs="宋体"/>
          <w:vanish w:val="0"/>
          <w:color w:val="auto"/>
          <w:sz w:val="24"/>
          <w:szCs w:val="24"/>
          <w:highlight w:val="none"/>
          <w:lang w:val="en-US" w:eastAsia="zh-CN"/>
        </w:rPr>
        <w:t>应该符合</w:t>
      </w:r>
      <w:r>
        <w:rPr>
          <w:rFonts w:hint="eastAsia" w:ascii="宋体" w:hAnsi="宋体" w:eastAsia="宋体" w:cs="宋体"/>
          <w:vanish w:val="0"/>
          <w:color w:val="auto"/>
          <w:sz w:val="24"/>
          <w:szCs w:val="24"/>
          <w:highlight w:val="none"/>
          <w:lang w:eastAsia="zh-CN"/>
        </w:rPr>
        <w:t>消防安全管理</w:t>
      </w:r>
      <w:r>
        <w:rPr>
          <w:rFonts w:hint="eastAsia" w:ascii="宋体" w:hAnsi="宋体" w:eastAsia="宋体" w:cs="宋体"/>
          <w:vanish w:val="0"/>
          <w:color w:val="auto"/>
          <w:sz w:val="24"/>
          <w:szCs w:val="24"/>
          <w:highlight w:val="none"/>
          <w:lang w:val="en-US" w:eastAsia="zh-CN"/>
        </w:rPr>
        <w:t>要求</w:t>
      </w:r>
      <w:r>
        <w:rPr>
          <w:rFonts w:hint="eastAsia" w:ascii="宋体" w:hAnsi="宋体" w:eastAsia="宋体" w:cs="宋体"/>
          <w:vanish w:val="0"/>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10.5.12</w:t>
      </w:r>
      <w:r>
        <w:rPr>
          <w:rFonts w:hint="eastAsia" w:ascii="宋体" w:hAnsi="宋体" w:eastAsia="宋体" w:cs="宋体"/>
          <w:vanish w:val="0"/>
          <w:color w:val="auto"/>
          <w:sz w:val="24"/>
          <w:szCs w:val="24"/>
          <w:highlight w:val="none"/>
          <w:lang w:val="en-US" w:eastAsia="zh-CN"/>
        </w:rPr>
        <w:t xml:space="preserve">  视频监控设备完好，</w:t>
      </w:r>
      <w:r>
        <w:rPr>
          <w:rFonts w:hint="eastAsia" w:ascii="宋体" w:hAnsi="宋体" w:eastAsia="宋体" w:cs="宋体"/>
          <w:vanish w:val="0"/>
          <w:color w:val="auto"/>
          <w:sz w:val="24"/>
          <w:szCs w:val="24"/>
          <w:highlight w:val="none"/>
          <w:lang w:val="zh-CN" w:eastAsia="zh-CN"/>
        </w:rPr>
        <w:t>监控</w:t>
      </w:r>
      <w:r>
        <w:rPr>
          <w:rFonts w:hint="eastAsia" w:ascii="宋体" w:hAnsi="宋体" w:eastAsia="宋体" w:cs="宋体"/>
          <w:vanish w:val="0"/>
          <w:color w:val="auto"/>
          <w:sz w:val="24"/>
          <w:szCs w:val="24"/>
          <w:highlight w:val="none"/>
          <w:lang w:val="en-US" w:eastAsia="zh-CN"/>
        </w:rPr>
        <w:t>运行</w:t>
      </w:r>
      <w:r>
        <w:rPr>
          <w:rFonts w:hint="eastAsia" w:ascii="宋体" w:hAnsi="宋体" w:eastAsia="宋体" w:cs="宋体"/>
          <w:vanish w:val="0"/>
          <w:color w:val="auto"/>
          <w:sz w:val="24"/>
          <w:szCs w:val="24"/>
          <w:highlight w:val="none"/>
          <w:lang w:val="zh-CN" w:eastAsia="zh-CN"/>
        </w:rPr>
        <w:t>记录完整，</w:t>
      </w:r>
      <w:r>
        <w:rPr>
          <w:rFonts w:hint="eastAsia" w:ascii="宋体" w:hAnsi="宋体" w:eastAsia="宋体" w:cs="宋体"/>
          <w:vanish w:val="0"/>
          <w:color w:val="auto"/>
          <w:sz w:val="24"/>
          <w:szCs w:val="24"/>
          <w:highlight w:val="none"/>
          <w:lang w:val="en-US" w:eastAsia="zh-CN"/>
        </w:rPr>
        <w:t>视频回放</w:t>
      </w:r>
      <w:r>
        <w:rPr>
          <w:rFonts w:hint="eastAsia" w:ascii="宋体" w:hAnsi="宋体" w:eastAsia="宋体" w:cs="宋体"/>
          <w:vanish w:val="0"/>
          <w:color w:val="auto"/>
          <w:sz w:val="24"/>
          <w:szCs w:val="24"/>
          <w:highlight w:val="none"/>
          <w:lang w:val="zh-CN" w:eastAsia="zh-CN"/>
        </w:rPr>
        <w:t>保存时间</w:t>
      </w:r>
      <w:r>
        <w:rPr>
          <w:rFonts w:hint="eastAsia" w:ascii="宋体" w:hAnsi="宋体" w:cs="宋体"/>
          <w:vanish w:val="0"/>
          <w:color w:val="auto"/>
          <w:sz w:val="24"/>
          <w:szCs w:val="24"/>
          <w:highlight w:val="none"/>
          <w:lang w:val="en-US" w:eastAsia="zh-CN"/>
        </w:rPr>
        <w:t>≥</w:t>
      </w:r>
      <w:r>
        <w:rPr>
          <w:rFonts w:hint="eastAsia" w:ascii="宋体" w:hAnsi="宋体" w:eastAsia="宋体" w:cs="宋体"/>
          <w:vanish w:val="0"/>
          <w:color w:val="auto"/>
          <w:sz w:val="24"/>
          <w:szCs w:val="24"/>
          <w:highlight w:val="none"/>
          <w:lang w:val="zh-CN" w:eastAsia="zh-CN"/>
        </w:rPr>
        <w:t>30天，</w:t>
      </w:r>
      <w:r>
        <w:rPr>
          <w:rFonts w:hint="eastAsia" w:ascii="宋体" w:hAnsi="宋体" w:eastAsia="宋体" w:cs="宋体"/>
          <w:vanish w:val="0"/>
          <w:color w:val="auto"/>
          <w:sz w:val="24"/>
          <w:szCs w:val="24"/>
          <w:highlight w:val="none"/>
          <w:lang w:val="en-US" w:eastAsia="zh-CN"/>
        </w:rPr>
        <w:t>定期校正监控录像设备时间，应与北京时间保持一致</w:t>
      </w:r>
      <w:r>
        <w:rPr>
          <w:rFonts w:hint="eastAsia" w:ascii="宋体" w:hAnsi="宋体" w:eastAsia="宋体" w:cs="宋体"/>
          <w:vanish w:val="0"/>
          <w:color w:val="auto"/>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254" w:name="_Toc23576"/>
      <w:bookmarkStart w:id="255" w:name="_Toc17052"/>
      <w:r>
        <w:rPr>
          <w:rFonts w:hint="eastAsia" w:ascii="宋体" w:hAnsi="宋体" w:eastAsia="宋体" w:cs="宋体"/>
          <w:b/>
          <w:bCs/>
          <w:color w:val="auto"/>
          <w:sz w:val="24"/>
          <w:szCs w:val="24"/>
          <w:highlight w:val="none"/>
          <w:lang w:val="en-US" w:eastAsia="zh-CN"/>
        </w:rPr>
        <w:t>10.6  充电桩巡查管理</w:t>
      </w:r>
      <w:bookmarkEnd w:id="254"/>
      <w:bookmarkEnd w:id="255"/>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10.6.1</w:t>
      </w:r>
      <w:r>
        <w:rPr>
          <w:rFonts w:hint="eastAsia" w:ascii="宋体" w:hAnsi="宋体" w:eastAsia="宋体" w:cs="宋体"/>
          <w:vanish w:val="0"/>
          <w:color w:val="auto"/>
          <w:sz w:val="24"/>
          <w:szCs w:val="24"/>
          <w:highlight w:val="none"/>
          <w:lang w:val="en-US" w:eastAsia="zh-CN"/>
        </w:rPr>
        <w:t xml:space="preserve">  应建立电动汽车停放、充电设备安全管理制度，明确安全责任人。</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10.6.2</w:t>
      </w:r>
      <w:r>
        <w:rPr>
          <w:rFonts w:hint="eastAsia" w:ascii="宋体" w:hAnsi="宋体" w:eastAsia="宋体" w:cs="宋体"/>
          <w:vanish w:val="0"/>
          <w:color w:val="auto"/>
          <w:sz w:val="24"/>
          <w:szCs w:val="24"/>
          <w:highlight w:val="none"/>
          <w:lang w:val="en-US" w:eastAsia="zh-CN"/>
        </w:rPr>
        <w:t xml:space="preserve">  应在显眼位置设置公示充电设备运营机构的名称、运营时间、服务范围、服务项目、收费标准、救援电话、监督热线及可供使用的设备情况等。</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10.6.3</w:t>
      </w:r>
      <w:r>
        <w:rPr>
          <w:rFonts w:hint="eastAsia" w:ascii="宋体" w:hAnsi="宋体" w:eastAsia="宋体" w:cs="宋体"/>
          <w:vanish w:val="0"/>
          <w:color w:val="auto"/>
          <w:sz w:val="24"/>
          <w:szCs w:val="24"/>
          <w:highlight w:val="none"/>
          <w:lang w:val="en-US" w:eastAsia="zh-CN"/>
        </w:rPr>
        <w:t xml:space="preserve">  充电区域内必须配备相应的消防器材并对消防器材进行日常巡查和定期保养，需做好相关记录存档备查。</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10.6.4</w:t>
      </w:r>
      <w:r>
        <w:rPr>
          <w:rFonts w:hint="eastAsia" w:ascii="宋体" w:hAnsi="宋体" w:eastAsia="宋体" w:cs="宋体"/>
          <w:vanish w:val="0"/>
          <w:color w:val="auto"/>
          <w:sz w:val="24"/>
          <w:szCs w:val="24"/>
          <w:highlight w:val="none"/>
          <w:lang w:val="en-US" w:eastAsia="zh-CN"/>
        </w:rPr>
        <w:t xml:space="preserve">  对充电设施进行日常巡查外，应定期同设备厂家进行维护保养并做好相关记录存档备查。</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10.6.5</w:t>
      </w:r>
      <w:r>
        <w:rPr>
          <w:rFonts w:hint="eastAsia" w:ascii="宋体" w:hAnsi="宋体" w:eastAsia="宋体" w:cs="宋体"/>
          <w:vanish w:val="0"/>
          <w:color w:val="auto"/>
          <w:sz w:val="24"/>
          <w:szCs w:val="24"/>
          <w:highlight w:val="none"/>
          <w:lang w:val="en-US" w:eastAsia="zh-CN"/>
        </w:rPr>
        <w:t xml:space="preserve">  加装电动汽车充电设施及配套用电设备的线路，应符合</w:t>
      </w:r>
      <w:r>
        <w:rPr>
          <w:rFonts w:hint="eastAsia" w:ascii="宋体" w:hAnsi="宋体" w:cs="宋体"/>
          <w:vanish w:val="0"/>
          <w:color w:val="auto"/>
          <w:sz w:val="24"/>
          <w:szCs w:val="24"/>
          <w:highlight w:val="none"/>
          <w:lang w:val="en-US" w:eastAsia="zh-CN"/>
        </w:rPr>
        <w:t>现行地方标准《</w:t>
      </w:r>
      <w:r>
        <w:rPr>
          <w:rFonts w:hint="eastAsia" w:ascii="宋体" w:hAnsi="宋体" w:eastAsia="宋体" w:cs="宋体"/>
          <w:vanish w:val="0"/>
          <w:color w:val="auto"/>
          <w:sz w:val="24"/>
          <w:szCs w:val="24"/>
          <w:highlight w:val="none"/>
          <w:lang w:val="en-US" w:eastAsia="zh-CN"/>
        </w:rPr>
        <w:t>电动汽车充电基础设施建设技术规程》DBJ/T-15-150的</w:t>
      </w:r>
      <w:r>
        <w:rPr>
          <w:rFonts w:hint="eastAsia" w:ascii="宋体" w:hAnsi="宋体" w:cs="宋体"/>
          <w:vanish w:val="0"/>
          <w:color w:val="auto"/>
          <w:sz w:val="24"/>
          <w:szCs w:val="24"/>
          <w:highlight w:val="none"/>
          <w:lang w:val="en-US" w:eastAsia="zh-CN"/>
        </w:rPr>
        <w:t>规定</w:t>
      </w:r>
      <w:r>
        <w:rPr>
          <w:rFonts w:hint="eastAsia" w:ascii="宋体" w:hAnsi="宋体" w:eastAsia="宋体" w:cs="宋体"/>
          <w:vanish w:val="0"/>
          <w:color w:val="auto"/>
          <w:sz w:val="24"/>
          <w:szCs w:val="24"/>
          <w:highlight w:val="none"/>
          <w:lang w:val="en-US" w:eastAsia="zh-CN"/>
        </w:rPr>
        <w:t>。</w:t>
      </w:r>
    </w:p>
    <w:p>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0" w:leftChars="0"/>
        <w:jc w:val="center"/>
        <w:textAlignment w:val="auto"/>
        <w:outlineLvl w:val="9"/>
        <w:rPr>
          <w:rFonts w:hint="eastAsia" w:ascii="Times New Roman" w:hAnsi="Times New Roman" w:eastAsia="宋体" w:cs="Times New Roman"/>
          <w:b/>
          <w:bCs/>
          <w:kern w:val="44"/>
          <w:sz w:val="30"/>
          <w:szCs w:val="44"/>
          <w:highlight w:val="none"/>
          <w:lang w:val="en-US" w:eastAsia="zh-CN" w:bidi="ar-SA"/>
        </w:rPr>
      </w:pPr>
      <w:bookmarkStart w:id="256" w:name="_Toc8995"/>
    </w:p>
    <w:p>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0" w:leftChars="0"/>
        <w:jc w:val="center"/>
        <w:textAlignment w:val="auto"/>
        <w:outlineLvl w:val="9"/>
        <w:rPr>
          <w:rFonts w:hint="eastAsia" w:ascii="Times New Roman" w:hAnsi="Times New Roman" w:eastAsia="宋体" w:cs="Times New Roman"/>
          <w:b/>
          <w:bCs/>
          <w:kern w:val="44"/>
          <w:sz w:val="30"/>
          <w:szCs w:val="44"/>
          <w:highlight w:val="none"/>
          <w:lang w:val="en-US" w:eastAsia="zh-CN" w:bidi="ar-SA"/>
        </w:rPr>
      </w:pPr>
    </w:p>
    <w:p>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0" w:leftChars="0"/>
        <w:jc w:val="center"/>
        <w:textAlignment w:val="auto"/>
        <w:outlineLvl w:val="9"/>
        <w:rPr>
          <w:rFonts w:hint="eastAsia" w:ascii="Times New Roman" w:hAnsi="Times New Roman" w:eastAsia="宋体" w:cs="Times New Roman"/>
          <w:b/>
          <w:bCs/>
          <w:kern w:val="44"/>
          <w:sz w:val="30"/>
          <w:szCs w:val="44"/>
          <w:highlight w:val="none"/>
          <w:lang w:val="en-US" w:eastAsia="zh-CN" w:bidi="ar-SA"/>
        </w:rPr>
      </w:pPr>
    </w:p>
    <w:p>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0" w:leftChars="0"/>
        <w:jc w:val="center"/>
        <w:textAlignment w:val="auto"/>
        <w:outlineLvl w:val="9"/>
        <w:rPr>
          <w:rFonts w:hint="eastAsia" w:ascii="Times New Roman" w:hAnsi="Times New Roman" w:eastAsia="宋体" w:cs="Times New Roman"/>
          <w:b/>
          <w:bCs/>
          <w:kern w:val="44"/>
          <w:sz w:val="30"/>
          <w:szCs w:val="44"/>
          <w:highlight w:val="none"/>
          <w:lang w:val="en-US" w:eastAsia="zh-CN" w:bidi="ar-SA"/>
        </w:rPr>
      </w:pPr>
    </w:p>
    <w:p>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0" w:leftChars="0"/>
        <w:jc w:val="center"/>
        <w:textAlignment w:val="auto"/>
        <w:outlineLvl w:val="9"/>
        <w:rPr>
          <w:rFonts w:hint="eastAsia" w:ascii="Times New Roman" w:hAnsi="Times New Roman" w:eastAsia="宋体" w:cs="Times New Roman"/>
          <w:b/>
          <w:bCs/>
          <w:kern w:val="44"/>
          <w:sz w:val="30"/>
          <w:szCs w:val="44"/>
          <w:highlight w:val="none"/>
          <w:lang w:val="en-US" w:eastAsia="zh-CN" w:bidi="ar-SA"/>
        </w:rPr>
      </w:pPr>
    </w:p>
    <w:p>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0" w:leftChars="0"/>
        <w:jc w:val="center"/>
        <w:textAlignment w:val="auto"/>
        <w:outlineLvl w:val="9"/>
        <w:rPr>
          <w:rFonts w:hint="eastAsia" w:ascii="Times New Roman" w:hAnsi="Times New Roman" w:eastAsia="宋体" w:cs="Times New Roman"/>
          <w:b/>
          <w:bCs/>
          <w:kern w:val="44"/>
          <w:sz w:val="30"/>
          <w:szCs w:val="44"/>
          <w:highlight w:val="none"/>
          <w:lang w:val="en-US" w:eastAsia="zh-CN" w:bidi="ar-SA"/>
        </w:rPr>
      </w:pPr>
    </w:p>
    <w:p>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0" w:leftChars="0"/>
        <w:jc w:val="center"/>
        <w:textAlignment w:val="auto"/>
        <w:outlineLvl w:val="9"/>
        <w:rPr>
          <w:rFonts w:hint="eastAsia" w:ascii="Times New Roman" w:hAnsi="Times New Roman" w:eastAsia="宋体" w:cs="Times New Roman"/>
          <w:b/>
          <w:bCs/>
          <w:kern w:val="44"/>
          <w:sz w:val="30"/>
          <w:szCs w:val="44"/>
          <w:highlight w:val="none"/>
          <w:lang w:val="en-US" w:eastAsia="zh-CN" w:bidi="ar-SA"/>
        </w:rPr>
      </w:pPr>
    </w:p>
    <w:p>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0" w:leftChars="0"/>
        <w:jc w:val="center"/>
        <w:textAlignment w:val="auto"/>
        <w:outlineLvl w:val="9"/>
        <w:rPr>
          <w:rFonts w:hint="eastAsia" w:ascii="Times New Roman" w:hAnsi="Times New Roman" w:eastAsia="宋体" w:cs="Times New Roman"/>
          <w:b/>
          <w:bCs/>
          <w:kern w:val="44"/>
          <w:sz w:val="30"/>
          <w:szCs w:val="44"/>
          <w:highlight w:val="none"/>
          <w:lang w:val="en-US" w:eastAsia="zh-CN" w:bidi="ar-SA"/>
        </w:rPr>
      </w:pPr>
    </w:p>
    <w:p>
      <w:pPr>
        <w:pStyle w:val="59"/>
        <w:rPr>
          <w:rFonts w:hint="eastAsia" w:ascii="Times New Roman" w:hAnsi="Times New Roman" w:eastAsia="宋体" w:cs="Times New Roman"/>
          <w:b/>
          <w:bCs/>
          <w:kern w:val="44"/>
          <w:sz w:val="30"/>
          <w:szCs w:val="44"/>
          <w:highlight w:val="none"/>
          <w:lang w:val="en-US" w:eastAsia="zh-CN" w:bidi="ar-SA"/>
        </w:rPr>
      </w:pPr>
    </w:p>
    <w:p>
      <w:pPr>
        <w:pStyle w:val="59"/>
        <w:rPr>
          <w:rFonts w:hint="eastAsia" w:ascii="Times New Roman" w:hAnsi="Times New Roman" w:eastAsia="宋体" w:cs="Times New Roman"/>
          <w:b/>
          <w:bCs/>
          <w:kern w:val="44"/>
          <w:sz w:val="30"/>
          <w:szCs w:val="44"/>
          <w:highlight w:val="none"/>
          <w:lang w:val="en-US" w:eastAsia="zh-CN" w:bidi="ar-SA"/>
        </w:rPr>
      </w:pPr>
    </w:p>
    <w:p>
      <w:pPr>
        <w:pStyle w:val="59"/>
        <w:rPr>
          <w:rFonts w:hint="eastAsia" w:ascii="Times New Roman" w:hAnsi="Times New Roman" w:eastAsia="宋体" w:cs="Times New Roman"/>
          <w:b/>
          <w:bCs/>
          <w:kern w:val="44"/>
          <w:sz w:val="30"/>
          <w:szCs w:val="44"/>
          <w:highlight w:val="none"/>
          <w:lang w:val="en-US" w:eastAsia="zh-CN" w:bidi="ar-SA"/>
        </w:rPr>
      </w:pPr>
    </w:p>
    <w:p>
      <w:pPr>
        <w:pStyle w:val="59"/>
        <w:rPr>
          <w:rFonts w:hint="eastAsia" w:ascii="Times New Roman" w:hAnsi="Times New Roman" w:eastAsia="宋体" w:cs="Times New Roman"/>
          <w:b/>
          <w:bCs/>
          <w:kern w:val="44"/>
          <w:sz w:val="30"/>
          <w:szCs w:val="44"/>
          <w:highlight w:val="none"/>
          <w:lang w:val="en-US" w:eastAsia="zh-CN" w:bidi="ar-SA"/>
        </w:rPr>
      </w:pPr>
    </w:p>
    <w:p>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0" w:leftChars="0"/>
        <w:jc w:val="center"/>
        <w:textAlignment w:val="auto"/>
        <w:outlineLvl w:val="9"/>
        <w:rPr>
          <w:rFonts w:hint="eastAsia" w:ascii="Times New Roman" w:hAnsi="Times New Roman" w:eastAsia="宋体" w:cs="Times New Roman"/>
          <w:b/>
          <w:bCs/>
          <w:kern w:val="44"/>
          <w:sz w:val="30"/>
          <w:szCs w:val="44"/>
          <w:highlight w:val="none"/>
          <w:lang w:val="en-US" w:eastAsia="zh-CN" w:bidi="ar-SA"/>
        </w:rPr>
      </w:pPr>
    </w:p>
    <w:p>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0" w:leftChars="0"/>
        <w:jc w:val="center"/>
        <w:textAlignment w:val="auto"/>
        <w:outlineLvl w:val="0"/>
        <w:rPr>
          <w:rFonts w:hint="eastAsia" w:ascii="黑体" w:hAnsi="黑体" w:eastAsia="黑体" w:cs="黑体"/>
          <w:b w:val="0"/>
          <w:i w:val="0"/>
          <w:color w:val="auto"/>
          <w:sz w:val="21"/>
          <w:szCs w:val="21"/>
          <w:highlight w:val="none"/>
          <w:lang w:val="en-US" w:eastAsia="zh-CN" w:bidi="ar-SA"/>
        </w:rPr>
      </w:pPr>
      <w:bookmarkStart w:id="257" w:name="_Toc4752"/>
      <w:r>
        <w:rPr>
          <w:rFonts w:hint="eastAsia" w:ascii="Times New Roman" w:hAnsi="Times New Roman" w:eastAsia="宋体" w:cs="Times New Roman"/>
          <w:b/>
          <w:bCs/>
          <w:kern w:val="44"/>
          <w:sz w:val="30"/>
          <w:szCs w:val="44"/>
          <w:highlight w:val="none"/>
          <w:lang w:val="en-US" w:eastAsia="zh-CN" w:bidi="ar-SA"/>
        </w:rPr>
        <w:t xml:space="preserve">11  </w:t>
      </w:r>
      <w:r>
        <w:rPr>
          <w:rFonts w:hint="eastAsia" w:ascii="Times New Roman" w:hAnsi="Times New Roman" w:eastAsia="宋体" w:cs="Times New Roman"/>
          <w:b w:val="0"/>
          <w:bCs w:val="0"/>
          <w:kern w:val="44"/>
          <w:sz w:val="30"/>
          <w:szCs w:val="44"/>
          <w:highlight w:val="none"/>
          <w:lang w:val="en-US" w:eastAsia="zh-CN" w:bidi="ar-SA"/>
        </w:rPr>
        <w:t>电力防恐与应急</w:t>
      </w:r>
      <w:bookmarkEnd w:id="256"/>
      <w:bookmarkEnd w:id="257"/>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258" w:name="_Toc11436"/>
      <w:bookmarkStart w:id="259" w:name="_Toc478"/>
      <w:r>
        <w:rPr>
          <w:rFonts w:hint="eastAsia" w:ascii="宋体" w:hAnsi="宋体" w:eastAsia="宋体" w:cs="宋体"/>
          <w:b/>
          <w:bCs/>
          <w:color w:val="auto"/>
          <w:sz w:val="24"/>
          <w:szCs w:val="24"/>
          <w:highlight w:val="none"/>
          <w:lang w:val="en-US" w:eastAsia="zh-CN"/>
        </w:rPr>
        <w:t>11.1  常态防恐要求</w:t>
      </w:r>
      <w:bookmarkEnd w:id="258"/>
      <w:bookmarkEnd w:id="259"/>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ascii="宋体" w:hAnsi="宋体" w:eastAsia="宋体" w:cs="宋体"/>
          <w:b/>
          <w:bCs/>
          <w:color w:val="auto"/>
          <w:sz w:val="24"/>
          <w:szCs w:val="24"/>
          <w:highlight w:val="none"/>
          <w:lang w:val="en-US" w:eastAsia="zh-CN"/>
        </w:rPr>
      </w:pPr>
      <w:bookmarkStart w:id="260" w:name="_Toc6630"/>
      <w:r>
        <w:rPr>
          <w:rFonts w:hint="eastAsia" w:ascii="宋体" w:hAnsi="宋体" w:eastAsia="宋体" w:cs="宋体"/>
          <w:b/>
          <w:bCs/>
          <w:color w:val="auto"/>
          <w:sz w:val="24"/>
          <w:szCs w:val="24"/>
          <w:highlight w:val="none"/>
          <w:lang w:val="en-US" w:eastAsia="zh-CN"/>
        </w:rPr>
        <w:t>Ⅰ  制度要求</w:t>
      </w:r>
      <w:bookmarkEnd w:id="260"/>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11.1.1</w:t>
      </w:r>
      <w:r>
        <w:rPr>
          <w:rFonts w:hint="eastAsia" w:ascii="宋体" w:hAnsi="宋体" w:eastAsia="宋体" w:cs="宋体"/>
          <w:vanish w:val="0"/>
          <w:color w:val="auto"/>
          <w:sz w:val="24"/>
          <w:szCs w:val="24"/>
          <w:highlight w:val="none"/>
          <w:lang w:val="en-US" w:eastAsia="zh-CN"/>
        </w:rPr>
        <w:t xml:space="preserve">  应建立健全的防恐</w:t>
      </w:r>
      <w:r>
        <w:rPr>
          <w:rFonts w:hint="eastAsia" w:ascii="宋体" w:hAnsi="宋体" w:eastAsia="宋体" w:cs="宋体"/>
          <w:vanish w:val="0"/>
          <w:color w:val="auto"/>
          <w:sz w:val="24"/>
          <w:szCs w:val="24"/>
          <w:highlight w:val="none"/>
          <w:lang w:val="zh-CN" w:eastAsia="zh-CN"/>
        </w:rPr>
        <w:t>防范责任管理制度，</w:t>
      </w:r>
      <w:r>
        <w:rPr>
          <w:rFonts w:hint="eastAsia" w:ascii="宋体" w:hAnsi="宋体" w:eastAsia="宋体" w:cs="宋体"/>
          <w:vanish w:val="0"/>
          <w:color w:val="auto"/>
          <w:sz w:val="24"/>
          <w:szCs w:val="24"/>
          <w:highlight w:val="none"/>
          <w:lang w:val="en-US" w:eastAsia="zh-CN"/>
        </w:rPr>
        <w:t>防恐组织架构（物业应急分队）和相关应急处置预案、流程等</w:t>
      </w:r>
      <w:r>
        <w:rPr>
          <w:rFonts w:hint="eastAsia" w:ascii="宋体" w:hAnsi="宋体" w:eastAsia="宋体" w:cs="宋体"/>
          <w:vanish w:val="0"/>
          <w:color w:val="auto"/>
          <w:sz w:val="24"/>
          <w:szCs w:val="24"/>
          <w:highlight w:val="none"/>
          <w:lang w:val="zh-CN" w:eastAsia="zh-CN"/>
        </w:rPr>
        <w:t>，确保</w:t>
      </w:r>
      <w:r>
        <w:rPr>
          <w:rFonts w:hint="eastAsia" w:ascii="宋体" w:hAnsi="宋体" w:eastAsia="宋体" w:cs="宋体"/>
          <w:vanish w:val="0"/>
          <w:color w:val="auto"/>
          <w:sz w:val="24"/>
          <w:szCs w:val="24"/>
          <w:highlight w:val="none"/>
          <w:lang w:val="en-US" w:eastAsia="zh-CN"/>
        </w:rPr>
        <w:t>电网、</w:t>
      </w:r>
      <w:r>
        <w:rPr>
          <w:rFonts w:hint="eastAsia" w:ascii="宋体" w:hAnsi="宋体" w:eastAsia="宋体" w:cs="宋体"/>
          <w:vanish w:val="0"/>
          <w:color w:val="auto"/>
          <w:sz w:val="24"/>
          <w:szCs w:val="24"/>
          <w:highlight w:val="none"/>
          <w:lang w:val="zh-CN" w:eastAsia="zh-CN"/>
        </w:rPr>
        <w:t>电站设备安全运行。</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11.1.2</w:t>
      </w:r>
      <w:r>
        <w:rPr>
          <w:rFonts w:hint="eastAsia" w:ascii="宋体" w:hAnsi="宋体" w:eastAsia="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zh-CN" w:eastAsia="zh-CN"/>
        </w:rPr>
        <w:t>全面落实治安</w:t>
      </w:r>
      <w:r>
        <w:rPr>
          <w:rFonts w:hint="eastAsia" w:ascii="宋体" w:hAnsi="宋体" w:eastAsia="宋体" w:cs="宋体"/>
          <w:vanish w:val="0"/>
          <w:color w:val="auto"/>
          <w:sz w:val="24"/>
          <w:szCs w:val="24"/>
          <w:highlight w:val="none"/>
          <w:lang w:val="en-US" w:eastAsia="zh-CN"/>
        </w:rPr>
        <w:t>防恐</w:t>
      </w:r>
      <w:r>
        <w:rPr>
          <w:rFonts w:hint="eastAsia" w:ascii="宋体" w:hAnsi="宋体" w:eastAsia="宋体" w:cs="宋体"/>
          <w:vanish w:val="0"/>
          <w:color w:val="auto"/>
          <w:sz w:val="24"/>
          <w:szCs w:val="24"/>
          <w:highlight w:val="none"/>
          <w:lang w:val="zh-CN" w:eastAsia="zh-CN"/>
        </w:rPr>
        <w:t>工作责任制，</w:t>
      </w:r>
      <w:r>
        <w:rPr>
          <w:rFonts w:hint="eastAsia" w:ascii="宋体" w:hAnsi="宋体" w:eastAsia="宋体" w:cs="宋体"/>
          <w:vanish w:val="0"/>
          <w:color w:val="auto"/>
          <w:sz w:val="24"/>
          <w:szCs w:val="24"/>
          <w:highlight w:val="none"/>
          <w:lang w:val="en-US" w:eastAsia="zh-CN"/>
        </w:rPr>
        <w:t>物业服务企业应配合并按照电力企业驻地单位的分工，</w:t>
      </w:r>
      <w:r>
        <w:rPr>
          <w:rFonts w:hint="eastAsia" w:ascii="宋体" w:hAnsi="宋体" w:eastAsia="宋体" w:cs="宋体"/>
          <w:vanish w:val="0"/>
          <w:color w:val="auto"/>
          <w:sz w:val="24"/>
          <w:szCs w:val="24"/>
          <w:highlight w:val="none"/>
          <w:lang w:val="zh-CN" w:eastAsia="zh-CN"/>
        </w:rPr>
        <w:t>全面落实治安</w:t>
      </w:r>
      <w:r>
        <w:rPr>
          <w:rFonts w:hint="eastAsia" w:ascii="宋体" w:hAnsi="宋体" w:eastAsia="宋体" w:cs="宋体"/>
          <w:vanish w:val="0"/>
          <w:color w:val="auto"/>
          <w:sz w:val="24"/>
          <w:szCs w:val="24"/>
          <w:highlight w:val="none"/>
          <w:lang w:val="en-US" w:eastAsia="zh-CN"/>
        </w:rPr>
        <w:t>防恐工作。</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zh-CN" w:eastAsia="zh-CN"/>
        </w:rPr>
      </w:pPr>
      <w:r>
        <w:rPr>
          <w:rFonts w:hint="eastAsia" w:ascii="Times New Roman" w:hAnsi="Times New Roman" w:eastAsia="宋体" w:cs="Times New Roman"/>
          <w:b/>
          <w:bCs/>
          <w:i w:val="0"/>
          <w:color w:val="auto"/>
          <w:kern w:val="2"/>
          <w:sz w:val="24"/>
          <w:szCs w:val="24"/>
          <w:highlight w:val="none"/>
          <w:lang w:val="en-US" w:eastAsia="zh-CN" w:bidi="ar-SA"/>
        </w:rPr>
        <w:t>11.1.3</w:t>
      </w:r>
      <w:r>
        <w:rPr>
          <w:rFonts w:hint="eastAsia" w:ascii="宋体" w:hAnsi="宋体" w:eastAsia="宋体" w:cs="宋体"/>
          <w:vanish w:val="0"/>
          <w:color w:val="auto"/>
          <w:sz w:val="24"/>
          <w:szCs w:val="24"/>
          <w:highlight w:val="none"/>
          <w:lang w:val="en-US" w:eastAsia="zh-CN"/>
        </w:rPr>
        <w:t xml:space="preserve">  成立防恐应急分队：在电力企业驻地单位防恐应急响应架构下成立防恐应急分队，应</w:t>
      </w:r>
      <w:r>
        <w:rPr>
          <w:rFonts w:hint="eastAsia" w:ascii="宋体" w:hAnsi="宋体" w:eastAsia="宋体" w:cs="宋体"/>
          <w:vanish w:val="0"/>
          <w:color w:val="auto"/>
          <w:sz w:val="24"/>
          <w:szCs w:val="24"/>
          <w:highlight w:val="none"/>
          <w:lang w:val="zh-CN" w:eastAsia="zh-CN"/>
        </w:rPr>
        <w:t>每年至少组织</w:t>
      </w:r>
      <w:r>
        <w:rPr>
          <w:rFonts w:hint="eastAsia" w:ascii="宋体" w:hAnsi="宋体" w:eastAsia="宋体" w:cs="宋体"/>
          <w:vanish w:val="0"/>
          <w:color w:val="auto"/>
          <w:sz w:val="24"/>
          <w:szCs w:val="24"/>
          <w:highlight w:val="none"/>
          <w:lang w:val="en-US" w:eastAsia="zh-CN"/>
        </w:rPr>
        <w:t>1</w:t>
      </w:r>
      <w:r>
        <w:rPr>
          <w:rFonts w:hint="eastAsia" w:ascii="宋体" w:hAnsi="宋体" w:eastAsia="宋体" w:cs="宋体"/>
          <w:vanish w:val="0"/>
          <w:color w:val="auto"/>
          <w:sz w:val="24"/>
          <w:szCs w:val="24"/>
          <w:highlight w:val="none"/>
          <w:lang w:val="zh-CN" w:eastAsia="zh-CN"/>
        </w:rPr>
        <w:t>次</w:t>
      </w:r>
      <w:r>
        <w:rPr>
          <w:rFonts w:hint="eastAsia" w:ascii="宋体" w:hAnsi="宋体" w:eastAsia="宋体" w:cs="宋体"/>
          <w:vanish w:val="0"/>
          <w:color w:val="auto"/>
          <w:sz w:val="24"/>
          <w:szCs w:val="24"/>
          <w:highlight w:val="none"/>
          <w:lang w:val="en-US" w:eastAsia="zh-CN"/>
        </w:rPr>
        <w:t>定期进行防恐应急演练</w:t>
      </w:r>
      <w:r>
        <w:rPr>
          <w:rFonts w:hint="eastAsia" w:ascii="宋体" w:hAnsi="宋体" w:eastAsia="宋体" w:cs="宋体"/>
          <w:vanish w:val="0"/>
          <w:color w:val="auto"/>
          <w:sz w:val="24"/>
          <w:szCs w:val="24"/>
          <w:highlight w:val="none"/>
          <w:lang w:val="zh-CN" w:eastAsia="zh-CN"/>
        </w:rPr>
        <w:t>、重点目标演练。</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ascii="宋体" w:hAnsi="宋体" w:eastAsia="宋体" w:cs="宋体"/>
          <w:b/>
          <w:bCs/>
          <w:color w:val="auto"/>
          <w:sz w:val="24"/>
          <w:szCs w:val="24"/>
          <w:highlight w:val="none"/>
          <w:lang w:val="en-US" w:eastAsia="zh-CN"/>
        </w:rPr>
      </w:pPr>
      <w:bookmarkStart w:id="261" w:name="_Toc21927"/>
      <w:r>
        <w:rPr>
          <w:rFonts w:hint="eastAsia" w:ascii="宋体" w:hAnsi="宋体" w:eastAsia="宋体" w:cs="宋体"/>
          <w:b/>
          <w:bCs/>
          <w:color w:val="auto"/>
          <w:sz w:val="24"/>
          <w:szCs w:val="24"/>
          <w:highlight w:val="none"/>
          <w:lang w:val="en-US" w:eastAsia="zh-CN"/>
        </w:rPr>
        <w:t>Ⅱ  人防要求</w:t>
      </w:r>
      <w:bookmarkEnd w:id="261"/>
      <w:r>
        <w:rPr>
          <w:rFonts w:hint="eastAsia" w:ascii="宋体" w:hAnsi="宋体" w:eastAsia="宋体" w:cs="宋体"/>
          <w:b/>
          <w:bCs/>
          <w:color w:val="auto"/>
          <w:sz w:val="24"/>
          <w:szCs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zh-CN" w:eastAsia="zh-CN"/>
        </w:rPr>
      </w:pPr>
      <w:r>
        <w:rPr>
          <w:rFonts w:hint="eastAsia" w:ascii="Times New Roman" w:hAnsi="Times New Roman" w:eastAsia="宋体" w:cs="Times New Roman"/>
          <w:b/>
          <w:bCs/>
          <w:i w:val="0"/>
          <w:color w:val="auto"/>
          <w:kern w:val="2"/>
          <w:sz w:val="24"/>
          <w:szCs w:val="24"/>
          <w:highlight w:val="none"/>
          <w:lang w:val="en-US" w:eastAsia="zh-CN" w:bidi="ar-SA"/>
        </w:rPr>
        <w:t>11.1.</w:t>
      </w:r>
      <w:r>
        <w:rPr>
          <w:rFonts w:hint="eastAsia" w:ascii="Times New Roman" w:hAnsi="Times New Roman" w:cs="Times New Roman"/>
          <w:b/>
          <w:bCs/>
          <w:i w:val="0"/>
          <w:color w:val="auto"/>
          <w:kern w:val="2"/>
          <w:sz w:val="24"/>
          <w:szCs w:val="24"/>
          <w:highlight w:val="none"/>
          <w:lang w:val="en-US" w:eastAsia="zh-CN" w:bidi="ar-SA"/>
        </w:rPr>
        <w:t>4</w:t>
      </w:r>
      <w:r>
        <w:rPr>
          <w:rFonts w:hint="eastAsia" w:ascii="宋体" w:hAnsi="宋体" w:eastAsia="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zh-CN" w:eastAsia="zh-CN"/>
        </w:rPr>
        <w:t>建立治安</w:t>
      </w:r>
      <w:r>
        <w:rPr>
          <w:rFonts w:hint="eastAsia" w:ascii="宋体" w:hAnsi="宋体" w:eastAsia="宋体" w:cs="宋体"/>
          <w:vanish w:val="0"/>
          <w:color w:val="auto"/>
          <w:sz w:val="24"/>
          <w:szCs w:val="24"/>
          <w:highlight w:val="none"/>
          <w:lang w:val="en-US" w:eastAsia="zh-CN"/>
        </w:rPr>
        <w:t>防恐</w:t>
      </w:r>
      <w:r>
        <w:rPr>
          <w:rFonts w:hint="eastAsia" w:ascii="宋体" w:hAnsi="宋体" w:eastAsia="宋体" w:cs="宋体"/>
          <w:vanish w:val="0"/>
          <w:color w:val="auto"/>
          <w:sz w:val="24"/>
          <w:szCs w:val="24"/>
          <w:highlight w:val="none"/>
          <w:lang w:val="zh-CN" w:eastAsia="zh-CN"/>
        </w:rPr>
        <w:t>教育培训，提高员工</w:t>
      </w:r>
      <w:r>
        <w:rPr>
          <w:rFonts w:hint="eastAsia" w:ascii="宋体" w:hAnsi="宋体" w:eastAsia="宋体" w:cs="宋体"/>
          <w:vanish w:val="0"/>
          <w:color w:val="auto"/>
          <w:sz w:val="24"/>
          <w:szCs w:val="24"/>
          <w:highlight w:val="none"/>
          <w:lang w:val="en-US" w:eastAsia="zh-CN"/>
        </w:rPr>
        <w:t>防恐</w:t>
      </w:r>
      <w:r>
        <w:rPr>
          <w:rFonts w:hint="eastAsia" w:ascii="宋体" w:hAnsi="宋体" w:eastAsia="宋体" w:cs="宋体"/>
          <w:vanish w:val="0"/>
          <w:color w:val="auto"/>
          <w:sz w:val="24"/>
          <w:szCs w:val="24"/>
          <w:highlight w:val="none"/>
          <w:lang w:val="zh-CN" w:eastAsia="zh-CN"/>
        </w:rPr>
        <w:t>意识，定期对重点部门和重要岗位员工进行有针对性的教育培训，重点目标场所每年至少组织</w:t>
      </w:r>
      <w:r>
        <w:rPr>
          <w:rFonts w:hint="eastAsia" w:ascii="宋体" w:hAnsi="宋体" w:eastAsia="宋体" w:cs="宋体"/>
          <w:vanish w:val="0"/>
          <w:color w:val="auto"/>
          <w:sz w:val="24"/>
          <w:szCs w:val="24"/>
          <w:highlight w:val="none"/>
          <w:lang w:val="en-US" w:eastAsia="zh-CN"/>
        </w:rPr>
        <w:t>1</w:t>
      </w:r>
      <w:r>
        <w:rPr>
          <w:rFonts w:hint="eastAsia" w:ascii="宋体" w:hAnsi="宋体" w:eastAsia="宋体" w:cs="宋体"/>
          <w:vanish w:val="0"/>
          <w:color w:val="auto"/>
          <w:sz w:val="24"/>
          <w:szCs w:val="24"/>
          <w:highlight w:val="none"/>
          <w:lang w:val="zh-CN" w:eastAsia="zh-CN"/>
        </w:rPr>
        <w:t>次治安</w:t>
      </w:r>
      <w:r>
        <w:rPr>
          <w:rFonts w:hint="eastAsia" w:ascii="宋体" w:hAnsi="宋体" w:eastAsia="宋体" w:cs="宋体"/>
          <w:vanish w:val="0"/>
          <w:color w:val="auto"/>
          <w:sz w:val="24"/>
          <w:szCs w:val="24"/>
          <w:highlight w:val="none"/>
          <w:lang w:val="en-US" w:eastAsia="zh-CN"/>
        </w:rPr>
        <w:t>防恐</w:t>
      </w:r>
      <w:r>
        <w:rPr>
          <w:rFonts w:hint="eastAsia" w:ascii="宋体" w:hAnsi="宋体" w:eastAsia="宋体" w:cs="宋体"/>
          <w:vanish w:val="0"/>
          <w:color w:val="auto"/>
          <w:sz w:val="24"/>
          <w:szCs w:val="24"/>
          <w:highlight w:val="none"/>
          <w:lang w:val="zh-CN" w:eastAsia="zh-CN"/>
        </w:rPr>
        <w:t>教育培训</w:t>
      </w:r>
      <w:r>
        <w:rPr>
          <w:rFonts w:hint="eastAsia" w:ascii="宋体" w:hAnsi="宋体" w:eastAsia="宋体" w:cs="宋体"/>
          <w:vanish w:val="0"/>
          <w:color w:val="auto"/>
          <w:sz w:val="24"/>
          <w:szCs w:val="24"/>
          <w:highlight w:val="none"/>
          <w:lang w:val="en-US" w:eastAsia="zh-CN"/>
        </w:rPr>
        <w:t>和演练</w:t>
      </w:r>
      <w:r>
        <w:rPr>
          <w:rFonts w:hint="eastAsia" w:ascii="宋体" w:hAnsi="宋体" w:eastAsia="宋体" w:cs="宋体"/>
          <w:vanish w:val="0"/>
          <w:color w:val="auto"/>
          <w:sz w:val="24"/>
          <w:szCs w:val="24"/>
          <w:highlight w:val="none"/>
          <w:lang w:val="zh-CN" w:eastAsia="zh-CN"/>
        </w:rPr>
        <w:t>。</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11.1.</w:t>
      </w:r>
      <w:r>
        <w:rPr>
          <w:rFonts w:hint="eastAsia" w:ascii="Times New Roman" w:hAnsi="Times New Roman" w:cs="Times New Roman"/>
          <w:b/>
          <w:bCs/>
          <w:i w:val="0"/>
          <w:color w:val="auto"/>
          <w:kern w:val="2"/>
          <w:sz w:val="24"/>
          <w:szCs w:val="24"/>
          <w:highlight w:val="none"/>
          <w:lang w:val="en-US" w:eastAsia="zh-CN" w:bidi="ar-SA"/>
        </w:rPr>
        <w:t>5</w:t>
      </w:r>
      <w:r>
        <w:rPr>
          <w:rFonts w:hint="eastAsia" w:ascii="Times New Roman" w:hAnsi="Times New Roman" w:eastAsia="宋体" w:cs="Times New Roman"/>
          <w:b/>
          <w:bCs/>
          <w:i w:val="0"/>
          <w:color w:val="auto"/>
          <w:kern w:val="2"/>
          <w:sz w:val="24"/>
          <w:szCs w:val="24"/>
          <w:highlight w:val="none"/>
          <w:lang w:val="en-US" w:eastAsia="zh-CN" w:bidi="ar-SA"/>
        </w:rPr>
        <w:t xml:space="preserve"> </w:t>
      </w:r>
      <w:r>
        <w:rPr>
          <w:rFonts w:hint="eastAsia" w:ascii="Times New Roman" w:hAnsi="Times New Roman" w:cs="Times New Roman"/>
          <w:b/>
          <w:bCs/>
          <w:i w:val="0"/>
          <w:color w:val="auto"/>
          <w:kern w:val="2"/>
          <w:sz w:val="24"/>
          <w:szCs w:val="24"/>
          <w:highlight w:val="none"/>
          <w:lang w:val="en-US" w:eastAsia="zh-CN" w:bidi="ar-SA"/>
        </w:rPr>
        <w:t xml:space="preserve"> </w:t>
      </w:r>
      <w:r>
        <w:rPr>
          <w:rFonts w:hint="eastAsia" w:ascii="宋体" w:hAnsi="宋体" w:eastAsia="宋体" w:cs="宋体"/>
          <w:vanish w:val="0"/>
          <w:color w:val="auto"/>
          <w:sz w:val="24"/>
          <w:szCs w:val="24"/>
          <w:highlight w:val="none"/>
          <w:lang w:val="en-US" w:eastAsia="zh-CN"/>
        </w:rPr>
        <w:t>已实施警企联动的重要区域、特别重要区域，要明确各区域的警企联系人和联系方式，常用应急电话应贴于保安室墙上，信息定期更新，确保沟通渠道畅通。</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zh-CN" w:eastAsia="zh-CN"/>
        </w:rPr>
      </w:pPr>
      <w:r>
        <w:rPr>
          <w:rFonts w:hint="eastAsia" w:ascii="Times New Roman" w:hAnsi="Times New Roman" w:eastAsia="宋体" w:cs="Times New Roman"/>
          <w:b/>
          <w:bCs/>
          <w:i w:val="0"/>
          <w:color w:val="auto"/>
          <w:kern w:val="2"/>
          <w:sz w:val="24"/>
          <w:szCs w:val="24"/>
          <w:highlight w:val="none"/>
          <w:lang w:val="en-US" w:eastAsia="zh-CN" w:bidi="ar-SA"/>
        </w:rPr>
        <w:t>11.1.</w:t>
      </w:r>
      <w:r>
        <w:rPr>
          <w:rFonts w:hint="eastAsia" w:ascii="Times New Roman" w:hAnsi="Times New Roman" w:cs="Times New Roman"/>
          <w:b/>
          <w:bCs/>
          <w:i w:val="0"/>
          <w:color w:val="auto"/>
          <w:kern w:val="2"/>
          <w:sz w:val="24"/>
          <w:szCs w:val="24"/>
          <w:highlight w:val="none"/>
          <w:lang w:val="en-US" w:eastAsia="zh-CN" w:bidi="ar-SA"/>
        </w:rPr>
        <w:t>6</w:t>
      </w:r>
      <w:r>
        <w:rPr>
          <w:rFonts w:hint="eastAsia" w:ascii="宋体" w:hAnsi="宋体" w:eastAsia="宋体" w:cs="宋体"/>
          <w:vanish w:val="0"/>
          <w:color w:val="auto"/>
          <w:sz w:val="24"/>
          <w:szCs w:val="24"/>
          <w:highlight w:val="none"/>
          <w:lang w:val="en-US" w:eastAsia="zh-CN"/>
        </w:rPr>
        <w:t xml:space="preserve">  进入重点部位等特殊区域场所的外联、外委、施工单位人员，需经电力企业驻地单位审批备案，凭工作票、临时工作证及身份证核对后方可进入。</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zh-CN" w:eastAsia="zh-CN"/>
        </w:rPr>
      </w:pPr>
      <w:r>
        <w:rPr>
          <w:rFonts w:hint="eastAsia" w:ascii="Times New Roman" w:hAnsi="Times New Roman" w:eastAsia="宋体" w:cs="Times New Roman"/>
          <w:b/>
          <w:bCs/>
          <w:i w:val="0"/>
          <w:color w:val="auto"/>
          <w:kern w:val="2"/>
          <w:sz w:val="24"/>
          <w:szCs w:val="24"/>
          <w:highlight w:val="none"/>
          <w:lang w:val="en-US" w:eastAsia="zh-CN" w:bidi="ar-SA"/>
        </w:rPr>
        <w:t>11.1.</w:t>
      </w:r>
      <w:r>
        <w:rPr>
          <w:rFonts w:hint="eastAsia" w:ascii="Times New Roman" w:hAnsi="Times New Roman" w:cs="Times New Roman"/>
          <w:b/>
          <w:bCs/>
          <w:i w:val="0"/>
          <w:color w:val="auto"/>
          <w:kern w:val="2"/>
          <w:sz w:val="24"/>
          <w:szCs w:val="24"/>
          <w:highlight w:val="none"/>
          <w:lang w:val="en-US" w:eastAsia="zh-CN" w:bidi="ar-SA"/>
        </w:rPr>
        <w:t>7</w:t>
      </w:r>
      <w:r>
        <w:rPr>
          <w:rFonts w:hint="eastAsia" w:ascii="Times New Roman" w:hAnsi="Times New Roman" w:eastAsia="宋体" w:cs="Times New Roman"/>
          <w:b/>
          <w:bCs/>
          <w:i w:val="0"/>
          <w:color w:val="auto"/>
          <w:kern w:val="2"/>
          <w:sz w:val="24"/>
          <w:szCs w:val="24"/>
          <w:highlight w:val="none"/>
          <w:lang w:val="en-US" w:eastAsia="zh-CN" w:bidi="ar-SA"/>
        </w:rPr>
        <w:t xml:space="preserve"> </w:t>
      </w:r>
      <w:r>
        <w:rPr>
          <w:rFonts w:hint="eastAsia" w:ascii="Times New Roman" w:hAnsi="Times New Roman" w:cs="Times New Roman"/>
          <w:b/>
          <w:bCs/>
          <w:i w:val="0"/>
          <w:color w:val="auto"/>
          <w:kern w:val="2"/>
          <w:sz w:val="24"/>
          <w:szCs w:val="24"/>
          <w:highlight w:val="none"/>
          <w:lang w:val="en-US" w:eastAsia="zh-CN" w:bidi="ar-SA"/>
        </w:rPr>
        <w:t xml:space="preserve"> </w:t>
      </w:r>
      <w:r>
        <w:rPr>
          <w:rFonts w:hint="eastAsia" w:ascii="宋体" w:hAnsi="宋体" w:eastAsia="宋体" w:cs="宋体"/>
          <w:vanish w:val="0"/>
          <w:color w:val="auto"/>
          <w:sz w:val="24"/>
          <w:szCs w:val="24"/>
          <w:highlight w:val="none"/>
          <w:lang w:val="en-US" w:eastAsia="zh-CN"/>
        </w:rPr>
        <w:t>进入生产区域（非重点部位）外来人员，需经电力企业驻地单位审准并</w:t>
      </w:r>
      <w:r>
        <w:rPr>
          <w:rFonts w:hint="eastAsia" w:ascii="宋体" w:hAnsi="宋体" w:eastAsia="宋体" w:cs="宋体"/>
          <w:vanish w:val="0"/>
          <w:color w:val="auto"/>
          <w:sz w:val="24"/>
          <w:szCs w:val="24"/>
          <w:highlight w:val="none"/>
          <w:lang w:val="zh-CN" w:eastAsia="zh-CN"/>
        </w:rPr>
        <w:t>建立“白名单”</w:t>
      </w:r>
      <w:r>
        <w:rPr>
          <w:rFonts w:hint="eastAsia" w:ascii="宋体" w:hAnsi="宋体" w:eastAsia="宋体" w:cs="宋体"/>
          <w:vanish w:val="0"/>
          <w:color w:val="auto"/>
          <w:sz w:val="24"/>
          <w:szCs w:val="24"/>
          <w:highlight w:val="none"/>
          <w:lang w:val="en-US" w:eastAsia="zh-CN"/>
        </w:rPr>
        <w:t>备案，凭身份证并核对</w:t>
      </w:r>
      <w:r>
        <w:rPr>
          <w:rFonts w:hint="eastAsia" w:ascii="宋体" w:hAnsi="宋体" w:eastAsia="宋体" w:cs="宋体"/>
          <w:vanish w:val="0"/>
          <w:color w:val="auto"/>
          <w:sz w:val="24"/>
          <w:szCs w:val="24"/>
          <w:highlight w:val="none"/>
          <w:lang w:val="zh-CN" w:eastAsia="zh-CN"/>
        </w:rPr>
        <w:t>“白名单”</w:t>
      </w:r>
      <w:r>
        <w:rPr>
          <w:rFonts w:hint="eastAsia" w:ascii="宋体" w:hAnsi="宋体" w:eastAsia="宋体" w:cs="宋体"/>
          <w:vanish w:val="0"/>
          <w:color w:val="auto"/>
          <w:sz w:val="24"/>
          <w:szCs w:val="24"/>
          <w:highlight w:val="none"/>
          <w:lang w:val="en-US" w:eastAsia="zh-CN"/>
        </w:rPr>
        <w:t>或“来访人员信息联络单”后，由专人引领进入。</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zh-CN" w:eastAsia="zh-CN"/>
        </w:rPr>
      </w:pPr>
      <w:r>
        <w:rPr>
          <w:rFonts w:hint="eastAsia" w:ascii="Times New Roman" w:hAnsi="Times New Roman" w:eastAsia="宋体" w:cs="Times New Roman"/>
          <w:b/>
          <w:bCs/>
          <w:i w:val="0"/>
          <w:color w:val="auto"/>
          <w:kern w:val="2"/>
          <w:sz w:val="24"/>
          <w:szCs w:val="24"/>
          <w:highlight w:val="none"/>
          <w:lang w:val="en-US" w:eastAsia="zh-CN" w:bidi="ar-SA"/>
        </w:rPr>
        <w:t>11.1.</w:t>
      </w: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 xml:space="preserve"> </w:t>
      </w:r>
      <w:r>
        <w:rPr>
          <w:rFonts w:hint="eastAsia" w:ascii="宋体" w:hAnsi="宋体" w:eastAsia="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zh-CN" w:eastAsia="zh-CN"/>
        </w:rPr>
        <w:t>重要部位（区域）</w:t>
      </w:r>
      <w:r>
        <w:rPr>
          <w:rFonts w:hint="eastAsia" w:ascii="宋体" w:hAnsi="宋体" w:eastAsia="宋体" w:cs="宋体"/>
          <w:vanish w:val="0"/>
          <w:color w:val="auto"/>
          <w:sz w:val="24"/>
          <w:szCs w:val="24"/>
          <w:highlight w:val="none"/>
          <w:lang w:val="en-US" w:eastAsia="zh-CN"/>
        </w:rPr>
        <w:t>人防配置应按附录D要求。</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ascii="宋体" w:hAnsi="宋体" w:eastAsia="宋体" w:cs="宋体"/>
          <w:b/>
          <w:bCs/>
          <w:color w:val="auto"/>
          <w:sz w:val="24"/>
          <w:szCs w:val="24"/>
          <w:highlight w:val="none"/>
          <w:lang w:val="en-US" w:eastAsia="zh-CN"/>
        </w:rPr>
      </w:pPr>
      <w:bookmarkStart w:id="262" w:name="_Toc13765"/>
      <w:r>
        <w:rPr>
          <w:rFonts w:hint="eastAsia" w:ascii="宋体" w:hAnsi="宋体" w:eastAsia="宋体" w:cs="宋体"/>
          <w:b/>
          <w:bCs/>
          <w:color w:val="auto"/>
          <w:sz w:val="24"/>
          <w:szCs w:val="24"/>
          <w:highlight w:val="none"/>
          <w:lang w:val="en-US" w:eastAsia="zh-CN"/>
        </w:rPr>
        <w:t>Ⅲ  技防要求</w:t>
      </w:r>
      <w:bookmarkEnd w:id="262"/>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11.1.</w:t>
      </w: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 xml:space="preserve"> </w:t>
      </w:r>
      <w:r>
        <w:rPr>
          <w:rFonts w:hint="eastAsia" w:ascii="宋体" w:hAnsi="宋体" w:eastAsia="宋体" w:cs="宋体"/>
          <w:vanish w:val="0"/>
          <w:color w:val="auto"/>
          <w:sz w:val="24"/>
          <w:szCs w:val="24"/>
          <w:highlight w:val="none"/>
          <w:lang w:val="en-US" w:eastAsia="zh-CN"/>
        </w:rPr>
        <w:t xml:space="preserve"> 定期检查/测试视频监控系统、入侵报警系统、无人机干扰系统、门禁系统、紧急报警系统、强闯</w:t>
      </w:r>
      <w:r>
        <w:rPr>
          <w:rFonts w:hint="eastAsia" w:ascii="宋体" w:hAnsi="宋体" w:eastAsia="宋体" w:cs="宋体"/>
          <w:vanish w:val="0"/>
          <w:color w:val="auto"/>
          <w:sz w:val="24"/>
          <w:szCs w:val="24"/>
          <w:highlight w:val="none"/>
          <w:lang w:val="zh-CN" w:eastAsia="zh-CN"/>
        </w:rPr>
        <w:t>报警</w:t>
      </w:r>
      <w:r>
        <w:rPr>
          <w:rFonts w:hint="eastAsia" w:ascii="宋体" w:hAnsi="宋体" w:eastAsia="宋体" w:cs="宋体"/>
          <w:vanish w:val="0"/>
          <w:color w:val="auto"/>
          <w:sz w:val="24"/>
          <w:szCs w:val="24"/>
          <w:highlight w:val="none"/>
          <w:lang w:val="en-US" w:eastAsia="zh-CN"/>
        </w:rPr>
        <w:t>系统等技防设备，确保正常投入使用。</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11.1.</w:t>
      </w:r>
      <w:r>
        <w:rPr>
          <w:rFonts w:hint="eastAsia" w:ascii="Times New Roman" w:hAnsi="Times New Roman" w:cs="Times New Roman"/>
          <w:b/>
          <w:bCs/>
          <w:i w:val="0"/>
          <w:color w:val="auto"/>
          <w:kern w:val="2"/>
          <w:sz w:val="24"/>
          <w:szCs w:val="24"/>
          <w:highlight w:val="none"/>
          <w:lang w:val="en-US" w:eastAsia="zh-CN" w:bidi="ar-SA"/>
        </w:rPr>
        <w:t>10</w:t>
      </w:r>
      <w:r>
        <w:rPr>
          <w:rFonts w:hint="eastAsia" w:ascii="Times New Roman" w:hAnsi="Times New Roman" w:eastAsia="宋体" w:cs="Times New Roman"/>
          <w:b/>
          <w:bCs/>
          <w:i w:val="0"/>
          <w:color w:val="auto"/>
          <w:kern w:val="2"/>
          <w:sz w:val="24"/>
          <w:szCs w:val="24"/>
          <w:highlight w:val="none"/>
          <w:lang w:val="en-US" w:eastAsia="zh-CN" w:bidi="ar-SA"/>
        </w:rPr>
        <w:t xml:space="preserve"> </w:t>
      </w:r>
      <w:r>
        <w:rPr>
          <w:rFonts w:hint="eastAsia" w:ascii="宋体" w:hAnsi="宋体" w:eastAsia="宋体" w:cs="宋体"/>
          <w:vanish w:val="0"/>
          <w:color w:val="auto"/>
          <w:sz w:val="24"/>
          <w:szCs w:val="24"/>
          <w:highlight w:val="none"/>
          <w:lang w:val="en-US" w:eastAsia="zh-CN"/>
        </w:rPr>
        <w:t xml:space="preserve"> 定期监督检查如下设备运行和性能是否达到要求，发现异常及时报告处置：</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bookmarkStart w:id="263" w:name="_Toc6530"/>
      <w:bookmarkStart w:id="264" w:name="_Toc1431"/>
      <w:bookmarkStart w:id="265" w:name="_Toc10501"/>
      <w:r>
        <w:rPr>
          <w:rFonts w:hint="eastAsia" w:ascii="宋体" w:hAnsi="宋体" w:eastAsia="宋体" w:cs="宋体"/>
          <w:vanish w:val="0"/>
          <w:color w:val="auto"/>
          <w:sz w:val="24"/>
          <w:szCs w:val="24"/>
          <w:highlight w:val="none"/>
          <w:lang w:val="en-US" w:eastAsia="zh-CN"/>
        </w:rPr>
        <w:t>1  检查所有的视频监控</w:t>
      </w:r>
      <w:r>
        <w:rPr>
          <w:rFonts w:hint="eastAsia" w:ascii="宋体" w:hAnsi="宋体" w:eastAsia="宋体" w:cs="宋体"/>
          <w:vanish w:val="0"/>
          <w:color w:val="auto"/>
          <w:sz w:val="24"/>
          <w:szCs w:val="24"/>
          <w:highlight w:val="none"/>
          <w:lang w:val="zh-CN" w:eastAsia="zh-CN"/>
        </w:rPr>
        <w:t>系统</w:t>
      </w:r>
      <w:r>
        <w:rPr>
          <w:rFonts w:hint="eastAsia" w:ascii="宋体" w:hAnsi="宋体" w:eastAsia="宋体" w:cs="宋体"/>
          <w:vanish w:val="0"/>
          <w:color w:val="auto"/>
          <w:sz w:val="24"/>
          <w:szCs w:val="24"/>
          <w:highlight w:val="none"/>
          <w:lang w:val="en-US" w:eastAsia="zh-CN"/>
        </w:rPr>
        <w:t>的</w:t>
      </w:r>
      <w:r>
        <w:rPr>
          <w:rFonts w:hint="eastAsia" w:ascii="宋体" w:hAnsi="宋体" w:eastAsia="宋体" w:cs="宋体"/>
          <w:vanish w:val="0"/>
          <w:color w:val="auto"/>
          <w:sz w:val="24"/>
          <w:szCs w:val="24"/>
          <w:highlight w:val="none"/>
          <w:lang w:val="zh-CN" w:eastAsia="zh-CN"/>
        </w:rPr>
        <w:t>清晰度、</w:t>
      </w:r>
      <w:r>
        <w:rPr>
          <w:rFonts w:hint="eastAsia" w:ascii="宋体" w:hAnsi="宋体" w:eastAsia="宋体" w:cs="宋体"/>
          <w:vanish w:val="0"/>
          <w:color w:val="auto"/>
          <w:sz w:val="24"/>
          <w:szCs w:val="24"/>
          <w:highlight w:val="none"/>
          <w:lang w:val="en-US" w:eastAsia="zh-CN"/>
        </w:rPr>
        <w:t>运行状况是否正常；</w:t>
      </w:r>
      <w:bookmarkEnd w:id="263"/>
      <w:bookmarkEnd w:id="264"/>
      <w:bookmarkEnd w:id="265"/>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bookmarkStart w:id="266" w:name="bookmark1"/>
      <w:bookmarkStart w:id="267" w:name="_Toc7422"/>
      <w:bookmarkStart w:id="268" w:name="_Toc2631"/>
      <w:bookmarkStart w:id="269" w:name="_Toc24757"/>
      <w:r>
        <w:rPr>
          <w:rFonts w:hint="eastAsia" w:ascii="宋体" w:hAnsi="宋体" w:eastAsia="宋体" w:cs="宋体"/>
          <w:vanish w:val="0"/>
          <w:color w:val="auto"/>
          <w:sz w:val="24"/>
          <w:szCs w:val="24"/>
          <w:highlight w:val="none"/>
          <w:lang w:val="en-US" w:eastAsia="zh-CN"/>
        </w:rPr>
        <w:t>2  监督检查</w:t>
      </w:r>
      <w:bookmarkEnd w:id="266"/>
      <w:r>
        <w:rPr>
          <w:rFonts w:hint="eastAsia" w:ascii="宋体" w:hAnsi="宋体" w:eastAsia="宋体" w:cs="宋体"/>
          <w:vanish w:val="0"/>
          <w:color w:val="auto"/>
          <w:sz w:val="24"/>
          <w:szCs w:val="24"/>
          <w:highlight w:val="none"/>
          <w:lang w:val="zh-CN" w:eastAsia="zh-CN"/>
        </w:rPr>
        <w:t>报警系统信息本地保存时间</w:t>
      </w:r>
      <w:r>
        <w:rPr>
          <w:rFonts w:hint="eastAsia" w:ascii="宋体" w:hAnsi="宋体" w:eastAsia="宋体" w:cs="宋体"/>
          <w:vanish w:val="0"/>
          <w:color w:val="auto"/>
          <w:sz w:val="24"/>
          <w:szCs w:val="24"/>
          <w:highlight w:val="none"/>
          <w:lang w:val="en-US" w:eastAsia="zh-CN"/>
        </w:rPr>
        <w:t>是否</w:t>
      </w:r>
      <w:r>
        <w:rPr>
          <w:rFonts w:hint="eastAsia" w:ascii="宋体" w:hAnsi="宋体" w:cs="宋体"/>
          <w:vanish w:val="0"/>
          <w:color w:val="auto"/>
          <w:sz w:val="24"/>
          <w:szCs w:val="24"/>
          <w:highlight w:val="none"/>
          <w:lang w:val="zh-CN" w:eastAsia="zh-CN"/>
        </w:rPr>
        <w:t>≥</w:t>
      </w:r>
      <w:r>
        <w:rPr>
          <w:rFonts w:hint="eastAsia" w:ascii="宋体" w:hAnsi="宋体" w:eastAsia="宋体" w:cs="宋体"/>
          <w:vanish w:val="0"/>
          <w:color w:val="auto"/>
          <w:sz w:val="24"/>
          <w:szCs w:val="24"/>
          <w:highlight w:val="none"/>
          <w:lang w:val="zh-CN" w:eastAsia="zh-CN"/>
        </w:rPr>
        <w:t>180天；</w:t>
      </w:r>
      <w:bookmarkEnd w:id="267"/>
      <w:bookmarkEnd w:id="268"/>
      <w:bookmarkEnd w:id="269"/>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zh-CN" w:eastAsia="zh-CN"/>
        </w:rPr>
      </w:pPr>
      <w:bookmarkStart w:id="270" w:name="_Toc26094"/>
      <w:bookmarkStart w:id="271" w:name="_Toc14424"/>
      <w:bookmarkStart w:id="272" w:name="_Toc16398"/>
      <w:r>
        <w:rPr>
          <w:rFonts w:hint="eastAsia" w:ascii="宋体" w:hAnsi="宋体" w:eastAsia="宋体" w:cs="宋体"/>
          <w:vanish w:val="0"/>
          <w:color w:val="auto"/>
          <w:sz w:val="24"/>
          <w:szCs w:val="24"/>
          <w:highlight w:val="none"/>
          <w:lang w:val="en-US" w:eastAsia="zh-CN"/>
        </w:rPr>
        <w:t>3  重点目标现场监督检查</w:t>
      </w:r>
      <w:r>
        <w:rPr>
          <w:rFonts w:hint="eastAsia" w:ascii="宋体" w:hAnsi="宋体" w:eastAsia="宋体" w:cs="宋体"/>
          <w:vanish w:val="0"/>
          <w:color w:val="auto"/>
          <w:sz w:val="24"/>
          <w:szCs w:val="24"/>
          <w:highlight w:val="none"/>
          <w:lang w:val="zh-CN" w:eastAsia="zh-CN"/>
        </w:rPr>
        <w:t>视频录像保存时间应</w:t>
      </w:r>
      <w:r>
        <w:rPr>
          <w:rFonts w:hint="eastAsia" w:ascii="宋体" w:hAnsi="宋体" w:cs="宋体"/>
          <w:vanish w:val="0"/>
          <w:color w:val="auto"/>
          <w:sz w:val="24"/>
          <w:szCs w:val="24"/>
          <w:highlight w:val="none"/>
          <w:lang w:val="zh-CN" w:eastAsia="zh-CN"/>
        </w:rPr>
        <w:t>≥</w:t>
      </w:r>
      <w:r>
        <w:rPr>
          <w:rFonts w:hint="eastAsia" w:ascii="宋体" w:hAnsi="宋体" w:eastAsia="宋体" w:cs="宋体"/>
          <w:vanish w:val="0"/>
          <w:color w:val="auto"/>
          <w:sz w:val="24"/>
          <w:szCs w:val="24"/>
          <w:highlight w:val="none"/>
          <w:lang w:val="zh-CN" w:eastAsia="zh-CN"/>
        </w:rPr>
        <w:t>90天，视频监控范围内的报警系统</w:t>
      </w:r>
      <w:r>
        <w:rPr>
          <w:rFonts w:hint="eastAsia" w:ascii="宋体" w:hAnsi="宋体" w:cs="宋体"/>
          <w:vanish w:val="0"/>
          <w:color w:val="auto"/>
          <w:sz w:val="24"/>
          <w:szCs w:val="24"/>
          <w:highlight w:val="none"/>
          <w:lang w:val="zh-CN"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r>
        <w:rPr>
          <w:rFonts w:hint="eastAsia" w:ascii="宋体" w:hAnsi="宋体" w:eastAsia="宋体" w:cs="宋体"/>
          <w:vanish w:val="0"/>
          <w:color w:val="auto"/>
          <w:sz w:val="24"/>
          <w:szCs w:val="24"/>
          <w:highlight w:val="none"/>
          <w:lang w:val="en-US" w:eastAsia="zh-CN"/>
        </w:rPr>
        <w:t xml:space="preserve">4  </w:t>
      </w:r>
      <w:r>
        <w:rPr>
          <w:rFonts w:hint="eastAsia" w:ascii="宋体" w:hAnsi="宋体" w:eastAsia="宋体" w:cs="宋体"/>
          <w:vanish w:val="0"/>
          <w:color w:val="auto"/>
          <w:sz w:val="24"/>
          <w:szCs w:val="24"/>
          <w:highlight w:val="none"/>
          <w:lang w:val="zh-CN" w:eastAsia="zh-CN"/>
        </w:rPr>
        <w:t>发生报警时，应</w:t>
      </w:r>
      <w:r>
        <w:rPr>
          <w:rFonts w:hint="eastAsia" w:ascii="宋体" w:hAnsi="宋体" w:eastAsia="宋体" w:cs="宋体"/>
          <w:vanish w:val="0"/>
          <w:color w:val="auto"/>
          <w:sz w:val="24"/>
          <w:szCs w:val="24"/>
          <w:highlight w:val="none"/>
          <w:lang w:val="en-US" w:eastAsia="zh-CN"/>
        </w:rPr>
        <w:t>能</w:t>
      </w:r>
      <w:r>
        <w:rPr>
          <w:rFonts w:hint="eastAsia" w:ascii="宋体" w:hAnsi="宋体" w:eastAsia="宋体" w:cs="宋体"/>
          <w:vanish w:val="0"/>
          <w:color w:val="auto"/>
          <w:sz w:val="24"/>
          <w:szCs w:val="24"/>
          <w:highlight w:val="none"/>
          <w:lang w:val="zh-CN" w:eastAsia="zh-CN"/>
        </w:rPr>
        <w:t>与该视频系统联动；</w:t>
      </w:r>
      <w:bookmarkEnd w:id="270"/>
      <w:bookmarkEnd w:id="271"/>
      <w:bookmarkEnd w:id="272"/>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bookmarkStart w:id="273" w:name="_Toc27425"/>
      <w:bookmarkStart w:id="274" w:name="_Toc15559"/>
      <w:bookmarkStart w:id="275" w:name="_Toc1900"/>
      <w:r>
        <w:rPr>
          <w:rFonts w:hint="eastAsia" w:ascii="宋体" w:hAnsi="宋体" w:eastAsia="宋体" w:cs="宋体"/>
          <w:vanish w:val="0"/>
          <w:color w:val="auto"/>
          <w:sz w:val="24"/>
          <w:szCs w:val="24"/>
          <w:highlight w:val="none"/>
          <w:lang w:val="en-US" w:eastAsia="zh-CN"/>
        </w:rPr>
        <w:t>5  监督检查</w:t>
      </w:r>
      <w:r>
        <w:rPr>
          <w:rFonts w:hint="eastAsia" w:ascii="宋体" w:hAnsi="宋体" w:eastAsia="宋体" w:cs="宋体"/>
          <w:vanish w:val="0"/>
          <w:color w:val="auto"/>
          <w:sz w:val="24"/>
          <w:szCs w:val="24"/>
          <w:highlight w:val="none"/>
          <w:lang w:val="zh-CN" w:eastAsia="zh-CN"/>
        </w:rPr>
        <w:t>辅助照明灯光应满足视频系统正常摄取图像的照度要求，视频监控系统的备用电源</w:t>
      </w:r>
      <w:r>
        <w:rPr>
          <w:rFonts w:hint="eastAsia" w:ascii="宋体" w:hAnsi="宋体" w:eastAsia="宋体" w:cs="宋体"/>
          <w:vanish w:val="0"/>
          <w:color w:val="auto"/>
          <w:sz w:val="24"/>
          <w:szCs w:val="24"/>
          <w:highlight w:val="none"/>
          <w:lang w:val="en-US" w:eastAsia="zh-CN"/>
        </w:rPr>
        <w:t>是否能</w:t>
      </w:r>
      <w:r>
        <w:rPr>
          <w:rFonts w:hint="eastAsia" w:ascii="宋体" w:hAnsi="宋体" w:eastAsia="宋体" w:cs="宋体"/>
          <w:vanish w:val="0"/>
          <w:color w:val="auto"/>
          <w:sz w:val="24"/>
          <w:szCs w:val="24"/>
          <w:highlight w:val="none"/>
          <w:lang w:val="zh-CN" w:eastAsia="zh-CN"/>
        </w:rPr>
        <w:t>满足至少4小时正常工作的需要；</w:t>
      </w:r>
      <w:bookmarkEnd w:id="273"/>
      <w:bookmarkEnd w:id="274"/>
      <w:bookmarkEnd w:id="275"/>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bookmarkStart w:id="276" w:name="_Toc21299"/>
      <w:bookmarkStart w:id="277" w:name="_Toc11358"/>
      <w:bookmarkStart w:id="278" w:name="_Toc16169"/>
      <w:r>
        <w:rPr>
          <w:rFonts w:hint="eastAsia" w:ascii="宋体" w:hAnsi="宋体" w:eastAsia="宋体" w:cs="宋体"/>
          <w:vanish w:val="0"/>
          <w:color w:val="auto"/>
          <w:sz w:val="24"/>
          <w:szCs w:val="24"/>
          <w:highlight w:val="none"/>
          <w:lang w:val="en-US" w:eastAsia="zh-CN"/>
        </w:rPr>
        <w:t>6  监督检查</w:t>
      </w:r>
      <w:r>
        <w:rPr>
          <w:rFonts w:hint="eastAsia" w:ascii="宋体" w:hAnsi="宋体" w:eastAsia="宋体" w:cs="宋体"/>
          <w:vanish w:val="0"/>
          <w:color w:val="auto"/>
          <w:sz w:val="24"/>
          <w:szCs w:val="24"/>
          <w:highlight w:val="none"/>
          <w:lang w:val="zh-CN" w:eastAsia="zh-CN"/>
        </w:rPr>
        <w:t>入侵报警系统备用电源</w:t>
      </w:r>
      <w:r>
        <w:rPr>
          <w:rFonts w:hint="eastAsia" w:ascii="宋体" w:hAnsi="宋体" w:eastAsia="宋体" w:cs="宋体"/>
          <w:vanish w:val="0"/>
          <w:color w:val="auto"/>
          <w:sz w:val="24"/>
          <w:szCs w:val="24"/>
          <w:highlight w:val="none"/>
          <w:lang w:val="en-US" w:eastAsia="zh-CN"/>
        </w:rPr>
        <w:t>是否能</w:t>
      </w:r>
      <w:r>
        <w:rPr>
          <w:rFonts w:hint="eastAsia" w:ascii="宋体" w:hAnsi="宋体" w:eastAsia="宋体" w:cs="宋体"/>
          <w:vanish w:val="0"/>
          <w:color w:val="auto"/>
          <w:sz w:val="24"/>
          <w:szCs w:val="24"/>
          <w:highlight w:val="none"/>
          <w:lang w:val="zh-CN" w:eastAsia="zh-CN"/>
        </w:rPr>
        <w:t>满足至少24小时正常工作的需要；</w:t>
      </w:r>
      <w:bookmarkEnd w:id="276"/>
      <w:bookmarkEnd w:id="277"/>
      <w:bookmarkEnd w:id="278"/>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bookmarkStart w:id="279" w:name="_Toc11504"/>
      <w:bookmarkStart w:id="280" w:name="_Toc11394"/>
      <w:bookmarkStart w:id="281" w:name="_Toc29750"/>
      <w:r>
        <w:rPr>
          <w:rFonts w:hint="eastAsia" w:ascii="宋体" w:hAnsi="宋体" w:eastAsia="宋体" w:cs="宋体"/>
          <w:vanish w:val="0"/>
          <w:color w:val="auto"/>
          <w:sz w:val="24"/>
          <w:szCs w:val="24"/>
          <w:highlight w:val="none"/>
          <w:lang w:val="en-US" w:eastAsia="zh-CN"/>
        </w:rPr>
        <w:t>7  监督检查</w:t>
      </w:r>
      <w:r>
        <w:rPr>
          <w:rFonts w:hint="eastAsia" w:ascii="宋体" w:hAnsi="宋体" w:eastAsia="宋体" w:cs="宋体"/>
          <w:vanish w:val="0"/>
          <w:color w:val="auto"/>
          <w:sz w:val="24"/>
          <w:szCs w:val="24"/>
          <w:highlight w:val="none"/>
          <w:lang w:val="zh-CN" w:eastAsia="zh-CN"/>
        </w:rPr>
        <w:t>安全技术防范系统的资料信息、事件信息、报警信息等保存时间</w:t>
      </w:r>
      <w:r>
        <w:rPr>
          <w:rFonts w:hint="eastAsia" w:ascii="宋体" w:hAnsi="宋体" w:eastAsia="宋体" w:cs="宋体"/>
          <w:vanish w:val="0"/>
          <w:color w:val="auto"/>
          <w:sz w:val="24"/>
          <w:szCs w:val="24"/>
          <w:highlight w:val="none"/>
          <w:lang w:val="en-US" w:eastAsia="zh-CN"/>
        </w:rPr>
        <w:t>是否</w:t>
      </w:r>
      <w:r>
        <w:rPr>
          <w:rFonts w:hint="eastAsia" w:ascii="宋体" w:hAnsi="宋体" w:cs="宋体"/>
          <w:vanish w:val="0"/>
          <w:color w:val="auto"/>
          <w:sz w:val="24"/>
          <w:szCs w:val="24"/>
          <w:highlight w:val="none"/>
          <w:lang w:val="zh-CN" w:eastAsia="zh-CN"/>
        </w:rPr>
        <w:t>≥</w:t>
      </w:r>
      <w:r>
        <w:rPr>
          <w:rFonts w:hint="eastAsia" w:ascii="宋体" w:hAnsi="宋体" w:eastAsia="宋体" w:cs="宋体"/>
          <w:vanish w:val="0"/>
          <w:color w:val="auto"/>
          <w:sz w:val="24"/>
          <w:szCs w:val="24"/>
          <w:highlight w:val="none"/>
          <w:lang w:val="zh-CN" w:eastAsia="zh-CN"/>
        </w:rPr>
        <w:t>90天；</w:t>
      </w:r>
      <w:bookmarkEnd w:id="279"/>
      <w:bookmarkEnd w:id="280"/>
      <w:bookmarkEnd w:id="281"/>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zh-CN" w:eastAsia="zh-CN"/>
        </w:rPr>
      </w:pPr>
      <w:bookmarkStart w:id="282" w:name="_Toc32459"/>
      <w:bookmarkStart w:id="283" w:name="_Toc7856"/>
      <w:bookmarkStart w:id="284" w:name="_Toc16141"/>
      <w:r>
        <w:rPr>
          <w:rFonts w:hint="eastAsia" w:ascii="宋体" w:hAnsi="宋体" w:eastAsia="宋体" w:cs="宋体"/>
          <w:vanish w:val="0"/>
          <w:color w:val="auto"/>
          <w:sz w:val="24"/>
          <w:szCs w:val="24"/>
          <w:highlight w:val="none"/>
          <w:lang w:val="en-US" w:eastAsia="zh-CN"/>
        </w:rPr>
        <w:t>8  监督检查</w:t>
      </w:r>
      <w:r>
        <w:rPr>
          <w:rFonts w:hint="eastAsia" w:ascii="宋体" w:hAnsi="宋体" w:eastAsia="宋体" w:cs="宋体"/>
          <w:vanish w:val="0"/>
          <w:color w:val="auto"/>
          <w:sz w:val="24"/>
          <w:szCs w:val="24"/>
          <w:highlight w:val="none"/>
          <w:lang w:val="zh-CN" w:eastAsia="zh-CN"/>
        </w:rPr>
        <w:t>安全技术防范系统</w:t>
      </w:r>
      <w:r>
        <w:rPr>
          <w:rFonts w:hint="eastAsia" w:ascii="宋体" w:hAnsi="宋体" w:eastAsia="宋体" w:cs="宋体"/>
          <w:vanish w:val="0"/>
          <w:color w:val="auto"/>
          <w:sz w:val="24"/>
          <w:szCs w:val="24"/>
          <w:highlight w:val="none"/>
          <w:lang w:val="en-US" w:eastAsia="zh-CN"/>
        </w:rPr>
        <w:t>是否</w:t>
      </w:r>
      <w:r>
        <w:rPr>
          <w:rFonts w:hint="eastAsia" w:ascii="宋体" w:hAnsi="宋体" w:eastAsia="宋体" w:cs="宋体"/>
          <w:vanish w:val="0"/>
          <w:color w:val="auto"/>
          <w:sz w:val="24"/>
          <w:szCs w:val="24"/>
          <w:highlight w:val="none"/>
          <w:lang w:val="zh-CN" w:eastAsia="zh-CN"/>
        </w:rPr>
        <w:t>独立运行，通讯网络</w:t>
      </w:r>
      <w:r>
        <w:rPr>
          <w:rFonts w:hint="eastAsia" w:ascii="宋体" w:hAnsi="宋体" w:eastAsia="宋体" w:cs="宋体"/>
          <w:vanish w:val="0"/>
          <w:color w:val="auto"/>
          <w:sz w:val="24"/>
          <w:szCs w:val="24"/>
          <w:highlight w:val="none"/>
          <w:lang w:val="en-US" w:eastAsia="zh-CN"/>
        </w:rPr>
        <w:t>是否</w:t>
      </w:r>
      <w:r>
        <w:rPr>
          <w:rFonts w:hint="eastAsia" w:ascii="宋体" w:hAnsi="宋体" w:eastAsia="宋体" w:cs="宋体"/>
          <w:vanish w:val="0"/>
          <w:color w:val="auto"/>
          <w:sz w:val="24"/>
          <w:szCs w:val="24"/>
          <w:highlight w:val="none"/>
          <w:lang w:val="zh-CN" w:eastAsia="zh-CN"/>
        </w:rPr>
        <w:t>为专用网络。</w:t>
      </w:r>
      <w:bookmarkEnd w:id="282"/>
      <w:bookmarkEnd w:id="283"/>
      <w:bookmarkEnd w:id="284"/>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ascii="宋体" w:hAnsi="宋体" w:eastAsia="宋体" w:cs="宋体"/>
          <w:b/>
          <w:bCs/>
          <w:color w:val="auto"/>
          <w:sz w:val="24"/>
          <w:szCs w:val="24"/>
          <w:highlight w:val="none"/>
          <w:lang w:val="en-US" w:eastAsia="zh-CN"/>
        </w:rPr>
      </w:pPr>
      <w:bookmarkStart w:id="285" w:name="_Toc15998"/>
      <w:r>
        <w:rPr>
          <w:rFonts w:hint="eastAsia" w:ascii="宋体" w:hAnsi="宋体" w:eastAsia="宋体" w:cs="宋体"/>
          <w:b/>
          <w:bCs/>
          <w:color w:val="auto"/>
          <w:sz w:val="24"/>
          <w:szCs w:val="24"/>
          <w:highlight w:val="none"/>
          <w:lang w:val="en-US" w:eastAsia="zh-CN"/>
        </w:rPr>
        <w:t>Ⅳ  物防要求</w:t>
      </w:r>
      <w:bookmarkEnd w:id="285"/>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11.1.</w:t>
      </w:r>
      <w:r>
        <w:rPr>
          <w:rFonts w:hint="eastAsia" w:ascii="Times New Roman" w:hAnsi="Times New Roman" w:cs="Times New Roman"/>
          <w:b/>
          <w:bCs/>
          <w:i w:val="0"/>
          <w:color w:val="auto"/>
          <w:kern w:val="2"/>
          <w:sz w:val="24"/>
          <w:szCs w:val="24"/>
          <w:highlight w:val="none"/>
          <w:lang w:val="en-US" w:eastAsia="zh-CN" w:bidi="ar-SA"/>
        </w:rPr>
        <w:t>11</w:t>
      </w:r>
      <w:r>
        <w:rPr>
          <w:rFonts w:hint="eastAsia" w:ascii="Times New Roman" w:hAnsi="Times New Roman" w:eastAsia="宋体" w:cs="Times New Roman"/>
          <w:b/>
          <w:bCs/>
          <w:i w:val="0"/>
          <w:color w:val="auto"/>
          <w:kern w:val="2"/>
          <w:sz w:val="24"/>
          <w:szCs w:val="24"/>
          <w:highlight w:val="none"/>
          <w:lang w:val="en-US" w:eastAsia="zh-CN" w:bidi="ar-SA"/>
        </w:rPr>
        <w:t xml:space="preserve"> </w:t>
      </w:r>
      <w:r>
        <w:rPr>
          <w:rFonts w:hint="eastAsia" w:ascii="宋体" w:hAnsi="宋体" w:eastAsia="宋体" w:cs="宋体"/>
          <w:vanish w:val="0"/>
          <w:color w:val="auto"/>
          <w:sz w:val="24"/>
          <w:szCs w:val="24"/>
          <w:highlight w:val="none"/>
          <w:lang w:val="en-US" w:eastAsia="zh-CN"/>
        </w:rPr>
        <w:t xml:space="preserve"> 健全岗位防恐装备检查、管理和装备的培训应用。</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11.1.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 xml:space="preserve">2  </w:t>
      </w:r>
      <w:r>
        <w:rPr>
          <w:rFonts w:hint="eastAsia" w:ascii="宋体" w:hAnsi="宋体" w:eastAsia="宋体" w:cs="宋体"/>
          <w:vanish w:val="0"/>
          <w:color w:val="auto"/>
          <w:sz w:val="24"/>
          <w:szCs w:val="24"/>
          <w:highlight w:val="none"/>
          <w:lang w:val="en-US" w:eastAsia="zh-CN"/>
        </w:rPr>
        <w:t>查</w:t>
      </w:r>
      <w:r>
        <w:rPr>
          <w:rFonts w:hint="eastAsia" w:ascii="宋体" w:hAnsi="宋体" w:eastAsia="宋体" w:cs="宋体"/>
          <w:vanish w:val="0"/>
          <w:color w:val="auto"/>
          <w:sz w:val="24"/>
          <w:szCs w:val="24"/>
          <w:highlight w:val="none"/>
          <w:lang w:val="zh-CN" w:eastAsia="zh-CN"/>
        </w:rPr>
        <w:t>车辆出入口的电动栏杆应符合</w:t>
      </w:r>
      <w:r>
        <w:rPr>
          <w:rFonts w:hint="eastAsia" w:ascii="宋体" w:hAnsi="宋体" w:cs="宋体"/>
          <w:vanish w:val="0"/>
          <w:color w:val="auto"/>
          <w:sz w:val="24"/>
          <w:szCs w:val="24"/>
          <w:highlight w:val="none"/>
          <w:lang w:val="en-US" w:eastAsia="zh-CN"/>
        </w:rPr>
        <w:t>现行行业标准</w:t>
      </w:r>
      <w:r>
        <w:rPr>
          <w:rFonts w:hint="eastAsia" w:ascii="宋体" w:hAnsi="宋体" w:eastAsia="宋体" w:cs="宋体"/>
          <w:vanish w:val="0"/>
          <w:color w:val="auto"/>
          <w:sz w:val="24"/>
          <w:szCs w:val="24"/>
          <w:highlight w:val="none"/>
          <w:lang w:val="en-US" w:eastAsia="zh-CN"/>
        </w:rPr>
        <w:t>《车辆出入口电动栏杆机技术要求》GA/T 1132</w:t>
      </w:r>
      <w:r>
        <w:rPr>
          <w:rFonts w:hint="eastAsia" w:ascii="宋体" w:hAnsi="宋体" w:eastAsia="宋体" w:cs="宋体"/>
          <w:vanish w:val="0"/>
          <w:color w:val="auto"/>
          <w:sz w:val="24"/>
          <w:szCs w:val="24"/>
          <w:highlight w:val="none"/>
          <w:lang w:val="zh-CN" w:eastAsia="zh-CN"/>
        </w:rPr>
        <w:t>的</w:t>
      </w:r>
      <w:r>
        <w:rPr>
          <w:rFonts w:hint="eastAsia" w:ascii="宋体" w:hAnsi="宋体" w:cs="宋体"/>
          <w:vanish w:val="0"/>
          <w:color w:val="auto"/>
          <w:sz w:val="24"/>
          <w:szCs w:val="24"/>
          <w:highlight w:val="none"/>
          <w:lang w:val="en-US" w:eastAsia="zh-CN"/>
        </w:rPr>
        <w:t>规定</w:t>
      </w:r>
      <w:r>
        <w:rPr>
          <w:rFonts w:hint="eastAsia" w:ascii="宋体" w:hAnsi="宋体" w:eastAsia="宋体" w:cs="宋体"/>
          <w:vanish w:val="0"/>
          <w:color w:val="auto"/>
          <w:sz w:val="24"/>
          <w:szCs w:val="24"/>
          <w:highlight w:val="none"/>
          <w:lang w:val="en-US" w:eastAsia="zh-CN"/>
        </w:rPr>
        <w:t>并随时能启用</w:t>
      </w:r>
      <w:r>
        <w:rPr>
          <w:rFonts w:hint="eastAsia" w:ascii="宋体" w:hAnsi="宋体" w:eastAsia="宋体" w:cs="宋体"/>
          <w:vanish w:val="0"/>
          <w:color w:val="auto"/>
          <w:sz w:val="24"/>
          <w:szCs w:val="24"/>
          <w:highlight w:val="none"/>
          <w:lang w:val="zh-CN" w:eastAsia="zh-CN"/>
        </w:rPr>
        <w:t>。</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11.1.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3</w:t>
      </w:r>
      <w:r>
        <w:rPr>
          <w:rFonts w:hint="eastAsia" w:ascii="宋体" w:hAnsi="宋体" w:eastAsia="宋体" w:cs="宋体"/>
          <w:vanish w:val="0"/>
          <w:color w:val="auto"/>
          <w:sz w:val="24"/>
          <w:szCs w:val="24"/>
          <w:highlight w:val="none"/>
          <w:lang w:val="en-US" w:eastAsia="zh-CN"/>
        </w:rPr>
        <w:t xml:space="preserve">  检查</w:t>
      </w:r>
      <w:r>
        <w:rPr>
          <w:rFonts w:hint="eastAsia" w:ascii="宋体" w:hAnsi="宋体" w:eastAsia="宋体" w:cs="宋体"/>
          <w:vanish w:val="0"/>
          <w:color w:val="auto"/>
          <w:sz w:val="24"/>
          <w:szCs w:val="24"/>
          <w:highlight w:val="none"/>
          <w:lang w:val="zh-CN" w:eastAsia="zh-CN"/>
        </w:rPr>
        <w:t>防暴升降式阻车路障</w:t>
      </w:r>
      <w:r>
        <w:rPr>
          <w:rFonts w:hint="eastAsia" w:ascii="宋体" w:hAnsi="宋体" w:eastAsia="宋体" w:cs="宋体"/>
          <w:vanish w:val="0"/>
          <w:color w:val="auto"/>
          <w:sz w:val="24"/>
          <w:szCs w:val="24"/>
          <w:highlight w:val="none"/>
          <w:lang w:val="en-US" w:eastAsia="zh-CN"/>
        </w:rPr>
        <w:t>是否</w:t>
      </w:r>
      <w:r>
        <w:rPr>
          <w:rFonts w:hint="eastAsia" w:ascii="宋体" w:hAnsi="宋体" w:eastAsia="宋体" w:cs="宋体"/>
          <w:vanish w:val="0"/>
          <w:color w:val="auto"/>
          <w:sz w:val="24"/>
          <w:szCs w:val="24"/>
          <w:highlight w:val="none"/>
          <w:lang w:val="zh-CN" w:eastAsia="zh-CN"/>
        </w:rPr>
        <w:t>应符合</w:t>
      </w:r>
      <w:r>
        <w:rPr>
          <w:rFonts w:hint="eastAsia" w:ascii="宋体" w:hAnsi="宋体" w:cs="宋体"/>
          <w:vanish w:val="0"/>
          <w:color w:val="auto"/>
          <w:sz w:val="24"/>
          <w:szCs w:val="24"/>
          <w:highlight w:val="none"/>
          <w:lang w:val="en-US" w:eastAsia="zh-CN"/>
        </w:rPr>
        <w:t>现行行业标准</w:t>
      </w:r>
      <w:r>
        <w:rPr>
          <w:rFonts w:hint="eastAsia" w:ascii="宋体" w:hAnsi="宋体" w:eastAsia="宋体" w:cs="宋体"/>
          <w:vanish w:val="0"/>
          <w:color w:val="auto"/>
          <w:sz w:val="24"/>
          <w:szCs w:val="24"/>
          <w:highlight w:val="none"/>
          <w:lang w:val="en-US" w:eastAsia="zh-CN"/>
        </w:rPr>
        <w:t>《防暴升降式阻车路障》</w:t>
      </w:r>
      <w:r>
        <w:rPr>
          <w:rFonts w:hint="eastAsia" w:ascii="宋体" w:hAnsi="宋体" w:eastAsia="宋体" w:cs="宋体"/>
          <w:vanish w:val="0"/>
          <w:color w:val="auto"/>
          <w:sz w:val="24"/>
          <w:szCs w:val="24"/>
          <w:highlight w:val="none"/>
          <w:lang w:val="zh-CN" w:eastAsia="zh-CN"/>
        </w:rPr>
        <w:t>GA/T</w:t>
      </w:r>
      <w:r>
        <w:rPr>
          <w:rFonts w:hint="eastAsia" w:ascii="宋体" w:hAnsi="宋体" w:eastAsia="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zh-CN" w:eastAsia="zh-CN"/>
        </w:rPr>
        <w:t>134</w:t>
      </w:r>
      <w:r>
        <w:rPr>
          <w:rFonts w:hint="eastAsia" w:ascii="宋体" w:hAnsi="宋体" w:eastAsia="宋体" w:cs="宋体"/>
          <w:vanish w:val="0"/>
          <w:color w:val="auto"/>
          <w:sz w:val="24"/>
          <w:szCs w:val="24"/>
          <w:highlight w:val="none"/>
          <w:lang w:val="en-US" w:eastAsia="zh-CN"/>
        </w:rPr>
        <w:t>3</w:t>
      </w:r>
      <w:r>
        <w:rPr>
          <w:rFonts w:hint="eastAsia" w:ascii="宋体" w:hAnsi="宋体" w:eastAsia="宋体" w:cs="宋体"/>
          <w:vanish w:val="0"/>
          <w:color w:val="auto"/>
          <w:sz w:val="24"/>
          <w:szCs w:val="24"/>
          <w:highlight w:val="none"/>
          <w:lang w:val="zh-CN" w:eastAsia="zh-CN"/>
        </w:rPr>
        <w:t>的</w:t>
      </w:r>
      <w:r>
        <w:rPr>
          <w:rFonts w:hint="eastAsia" w:ascii="宋体" w:hAnsi="宋体" w:eastAsia="宋体" w:cs="宋体"/>
          <w:vanish w:val="0"/>
          <w:color w:val="auto"/>
          <w:sz w:val="24"/>
          <w:szCs w:val="24"/>
          <w:highlight w:val="none"/>
          <w:lang w:val="en-US" w:eastAsia="zh-CN"/>
        </w:rPr>
        <w:t>规定并随时能启用。</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11.1.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 xml:space="preserve">4  </w:t>
      </w:r>
      <w:r>
        <w:rPr>
          <w:rFonts w:hint="eastAsia" w:ascii="宋体" w:hAnsi="宋体" w:eastAsia="宋体" w:cs="宋体"/>
          <w:vanish w:val="0"/>
          <w:color w:val="auto"/>
          <w:sz w:val="24"/>
          <w:szCs w:val="24"/>
          <w:highlight w:val="none"/>
          <w:lang w:val="en-US" w:eastAsia="zh-CN"/>
        </w:rPr>
        <w:t>检查</w:t>
      </w:r>
      <w:r>
        <w:rPr>
          <w:rFonts w:hint="eastAsia" w:ascii="宋体" w:hAnsi="宋体" w:eastAsia="宋体" w:cs="宋体"/>
          <w:vanish w:val="0"/>
          <w:color w:val="auto"/>
          <w:sz w:val="24"/>
          <w:szCs w:val="24"/>
          <w:highlight w:val="none"/>
          <w:lang w:val="zh-CN" w:eastAsia="zh-CN"/>
        </w:rPr>
        <w:t>防尾随联动互锁安全门应符合</w:t>
      </w:r>
      <w:r>
        <w:rPr>
          <w:rFonts w:hint="eastAsia" w:ascii="宋体" w:hAnsi="宋体" w:cs="宋体"/>
          <w:vanish w:val="0"/>
          <w:color w:val="auto"/>
          <w:sz w:val="24"/>
          <w:szCs w:val="24"/>
          <w:highlight w:val="none"/>
          <w:lang w:val="en-US" w:eastAsia="zh-CN"/>
        </w:rPr>
        <w:t>现行行业标准</w:t>
      </w:r>
      <w:r>
        <w:rPr>
          <w:rFonts w:hint="eastAsia" w:ascii="宋体" w:hAnsi="宋体" w:eastAsia="宋体" w:cs="宋体"/>
          <w:vanish w:val="0"/>
          <w:color w:val="auto"/>
          <w:sz w:val="24"/>
          <w:szCs w:val="24"/>
          <w:highlight w:val="none"/>
          <w:lang w:val="en-US" w:eastAsia="zh-CN"/>
        </w:rPr>
        <w:t xml:space="preserve">《防尾随联动互锁安全门通用技术条件》GA </w:t>
      </w:r>
      <w:r>
        <w:rPr>
          <w:rFonts w:hint="eastAsia" w:ascii="宋体" w:hAnsi="宋体" w:eastAsia="宋体" w:cs="宋体"/>
          <w:vanish w:val="0"/>
          <w:color w:val="auto"/>
          <w:sz w:val="24"/>
          <w:szCs w:val="24"/>
          <w:highlight w:val="none"/>
          <w:lang w:val="zh-CN" w:eastAsia="zh-CN"/>
        </w:rPr>
        <w:t>576的</w:t>
      </w:r>
      <w:r>
        <w:rPr>
          <w:rFonts w:hint="eastAsia" w:ascii="宋体" w:hAnsi="宋体" w:eastAsia="宋体" w:cs="宋体"/>
          <w:vanish w:val="0"/>
          <w:color w:val="auto"/>
          <w:sz w:val="24"/>
          <w:szCs w:val="24"/>
          <w:highlight w:val="none"/>
          <w:lang w:val="en-US" w:eastAsia="zh-CN"/>
        </w:rPr>
        <w:t>规定并定期测试。</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11.1.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 xml:space="preserve">5 </w:t>
      </w:r>
      <w:r>
        <w:rPr>
          <w:rFonts w:hint="eastAsia" w:ascii="宋体" w:hAnsi="宋体" w:eastAsia="宋体" w:cs="宋体"/>
          <w:vanish w:val="0"/>
          <w:color w:val="auto"/>
          <w:sz w:val="24"/>
          <w:szCs w:val="24"/>
          <w:highlight w:val="none"/>
          <w:lang w:val="en-US" w:eastAsia="zh-CN"/>
        </w:rPr>
        <w:t xml:space="preserve"> 检查实体防护设施比如：围墙、钢铁围栏等是否完整。</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11.1.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 xml:space="preserve">6 </w:t>
      </w:r>
      <w:r>
        <w:rPr>
          <w:rFonts w:hint="eastAsia" w:ascii="宋体" w:hAnsi="宋体" w:eastAsia="宋体" w:cs="宋体"/>
          <w:vanish w:val="0"/>
          <w:color w:val="auto"/>
          <w:sz w:val="24"/>
          <w:szCs w:val="24"/>
          <w:highlight w:val="none"/>
          <w:lang w:val="en-US" w:eastAsia="zh-CN"/>
        </w:rPr>
        <w:t xml:space="preserve"> 按规定防恐装备物资包括并不限于如下物资：</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bookmarkStart w:id="286" w:name="_Toc4482"/>
      <w:bookmarkStart w:id="287" w:name="_Toc26383"/>
      <w:bookmarkStart w:id="288" w:name="_Toc27432"/>
      <w:r>
        <w:rPr>
          <w:rFonts w:hint="eastAsia" w:ascii="宋体" w:hAnsi="宋体" w:eastAsia="宋体" w:cs="宋体"/>
          <w:vanish w:val="0"/>
          <w:color w:val="auto"/>
          <w:sz w:val="24"/>
          <w:szCs w:val="24"/>
          <w:highlight w:val="none"/>
          <w:lang w:val="en-US" w:eastAsia="zh-CN"/>
        </w:rPr>
        <w:t>1  装备</w:t>
      </w:r>
      <w:r>
        <w:rPr>
          <w:rFonts w:hint="eastAsia" w:ascii="宋体" w:hAnsi="宋体" w:cs="宋体"/>
          <w:vanish w:val="0"/>
          <w:color w:val="auto"/>
          <w:sz w:val="24"/>
          <w:szCs w:val="24"/>
          <w:highlight w:val="none"/>
          <w:lang w:val="en-US" w:eastAsia="zh-CN"/>
        </w:rPr>
        <w:t>应</w:t>
      </w:r>
      <w:r>
        <w:rPr>
          <w:rFonts w:hint="eastAsia" w:ascii="宋体" w:hAnsi="宋体" w:eastAsia="宋体" w:cs="宋体"/>
          <w:vanish w:val="0"/>
          <w:color w:val="auto"/>
          <w:sz w:val="24"/>
          <w:szCs w:val="24"/>
          <w:highlight w:val="none"/>
          <w:lang w:val="zh-CN" w:eastAsia="zh-CN"/>
        </w:rPr>
        <w:t>符合</w:t>
      </w:r>
      <w:r>
        <w:rPr>
          <w:rFonts w:hint="eastAsia" w:ascii="宋体" w:hAnsi="宋体" w:cs="宋体"/>
          <w:vanish w:val="0"/>
          <w:color w:val="auto"/>
          <w:sz w:val="24"/>
          <w:szCs w:val="24"/>
          <w:highlight w:val="none"/>
          <w:lang w:val="en-US" w:eastAsia="zh-CN"/>
        </w:rPr>
        <w:t>现行行业标准</w:t>
      </w:r>
      <w:r>
        <w:rPr>
          <w:rFonts w:hint="eastAsia" w:ascii="宋体" w:hAnsi="宋体" w:cs="宋体"/>
          <w:vanish w:val="0"/>
          <w:color w:val="auto"/>
          <w:sz w:val="24"/>
          <w:szCs w:val="24"/>
          <w:highlight w:val="none"/>
          <w:lang w:val="zh-CN" w:eastAsia="zh-CN"/>
        </w:rPr>
        <w:t>《</w:t>
      </w:r>
      <w:r>
        <w:rPr>
          <w:rFonts w:hint="eastAsia" w:ascii="宋体" w:hAnsi="宋体" w:eastAsia="宋体" w:cs="宋体"/>
          <w:vanish w:val="0"/>
          <w:color w:val="auto"/>
          <w:sz w:val="24"/>
          <w:szCs w:val="24"/>
          <w:highlight w:val="none"/>
          <w:lang w:val="zh-CN" w:eastAsia="zh-CN"/>
        </w:rPr>
        <w:t>公安单警装备</w:t>
      </w:r>
      <w:r>
        <w:rPr>
          <w:rFonts w:hint="eastAsia" w:ascii="宋体" w:hAnsi="宋体" w:eastAsia="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zh-CN" w:eastAsia="zh-CN"/>
        </w:rPr>
        <w:t>强光手电》</w:t>
      </w:r>
      <w:r>
        <w:rPr>
          <w:rFonts w:hint="eastAsia" w:ascii="宋体" w:hAnsi="宋体" w:eastAsia="宋体" w:cs="宋体"/>
          <w:vanish w:val="0"/>
          <w:color w:val="auto"/>
          <w:sz w:val="24"/>
          <w:szCs w:val="24"/>
          <w:highlight w:val="none"/>
          <w:lang w:val="en-US" w:eastAsia="zh-CN"/>
        </w:rPr>
        <w:t xml:space="preserve">GA </w:t>
      </w:r>
      <w:r>
        <w:rPr>
          <w:rFonts w:hint="eastAsia" w:ascii="宋体" w:hAnsi="宋体" w:eastAsia="宋体" w:cs="宋体"/>
          <w:vanish w:val="0"/>
          <w:color w:val="auto"/>
          <w:sz w:val="24"/>
          <w:szCs w:val="24"/>
          <w:highlight w:val="none"/>
          <w:lang w:val="zh-CN" w:eastAsia="zh-CN"/>
        </w:rPr>
        <w:t>883</w:t>
      </w:r>
      <w:r>
        <w:rPr>
          <w:rFonts w:hint="eastAsia" w:ascii="宋体" w:hAnsi="宋体" w:cs="宋体"/>
          <w:vanish w:val="0"/>
          <w:color w:val="auto"/>
          <w:sz w:val="24"/>
          <w:szCs w:val="24"/>
          <w:highlight w:val="none"/>
          <w:lang w:val="en-US" w:eastAsia="zh-CN"/>
        </w:rPr>
        <w:t>规定</w:t>
      </w:r>
      <w:r>
        <w:rPr>
          <w:rFonts w:hint="eastAsia" w:ascii="宋体" w:hAnsi="宋体" w:eastAsia="宋体" w:cs="宋体"/>
          <w:vanish w:val="0"/>
          <w:color w:val="auto"/>
          <w:sz w:val="24"/>
          <w:szCs w:val="24"/>
          <w:highlight w:val="none"/>
          <w:lang w:val="zh-CN" w:eastAsia="zh-CN"/>
        </w:rPr>
        <w:t>的强光手电筒；</w:t>
      </w:r>
      <w:bookmarkEnd w:id="286"/>
      <w:bookmarkEnd w:id="287"/>
      <w:bookmarkEnd w:id="288"/>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bookmarkStart w:id="289" w:name="_Toc2175"/>
      <w:bookmarkStart w:id="290" w:name="_Toc30614"/>
      <w:bookmarkStart w:id="291" w:name="_Toc15926"/>
      <w:r>
        <w:rPr>
          <w:rFonts w:hint="eastAsia" w:ascii="宋体" w:hAnsi="宋体" w:eastAsia="宋体" w:cs="宋体"/>
          <w:vanish w:val="0"/>
          <w:color w:val="auto"/>
          <w:sz w:val="24"/>
          <w:szCs w:val="24"/>
          <w:highlight w:val="none"/>
          <w:lang w:val="en-US" w:eastAsia="zh-CN"/>
        </w:rPr>
        <w:t>2  装备</w:t>
      </w:r>
      <w:r>
        <w:rPr>
          <w:rFonts w:hint="eastAsia" w:ascii="宋体" w:hAnsi="宋体" w:eastAsia="宋体" w:cs="宋体"/>
          <w:vanish w:val="0"/>
          <w:color w:val="auto"/>
          <w:sz w:val="24"/>
          <w:szCs w:val="24"/>
          <w:highlight w:val="none"/>
          <w:lang w:val="zh-CN" w:eastAsia="zh-CN"/>
        </w:rPr>
        <w:t>由铝合金制成，哨音分贝</w:t>
      </w:r>
      <w:r>
        <w:rPr>
          <w:rFonts w:hint="eastAsia" w:ascii="宋体" w:hAnsi="宋体" w:cs="宋体"/>
          <w:vanish w:val="0"/>
          <w:color w:val="auto"/>
          <w:sz w:val="24"/>
          <w:szCs w:val="24"/>
          <w:highlight w:val="none"/>
          <w:lang w:val="zh-CN" w:eastAsia="zh-CN"/>
        </w:rPr>
        <w:t>≥</w:t>
      </w:r>
      <w:r>
        <w:rPr>
          <w:rFonts w:hint="eastAsia" w:ascii="宋体" w:hAnsi="宋体" w:eastAsia="宋体" w:cs="宋体"/>
          <w:vanish w:val="0"/>
          <w:color w:val="auto"/>
          <w:sz w:val="24"/>
          <w:szCs w:val="24"/>
          <w:highlight w:val="none"/>
          <w:lang w:val="zh-CN" w:eastAsia="zh-CN"/>
        </w:rPr>
        <w:t>160</w:t>
      </w:r>
      <w:r>
        <w:rPr>
          <w:rFonts w:hint="eastAsia" w:ascii="宋体" w:hAnsi="宋体" w:eastAsia="宋体" w:cs="宋体"/>
          <w:vanish w:val="0"/>
          <w:color w:val="auto"/>
          <w:sz w:val="24"/>
          <w:szCs w:val="24"/>
          <w:highlight w:val="none"/>
          <w:lang w:val="en-US" w:eastAsia="zh-CN"/>
        </w:rPr>
        <w:t>db,</w:t>
      </w:r>
      <w:r>
        <w:rPr>
          <w:rFonts w:hint="eastAsia" w:ascii="宋体" w:hAnsi="宋体" w:eastAsia="宋体" w:cs="宋体"/>
          <w:vanish w:val="0"/>
          <w:color w:val="auto"/>
          <w:sz w:val="24"/>
          <w:szCs w:val="24"/>
          <w:highlight w:val="none"/>
          <w:lang w:val="zh-CN" w:eastAsia="zh-CN"/>
        </w:rPr>
        <w:t>配尼龙绳</w:t>
      </w:r>
      <w:r>
        <w:rPr>
          <w:rFonts w:hint="eastAsia" w:ascii="宋体" w:hAnsi="宋体" w:eastAsia="宋体" w:cs="宋体"/>
          <w:vanish w:val="0"/>
          <w:color w:val="auto"/>
          <w:sz w:val="24"/>
          <w:szCs w:val="24"/>
          <w:highlight w:val="none"/>
          <w:lang w:val="en-US" w:eastAsia="zh-CN"/>
        </w:rPr>
        <w:t>的</w:t>
      </w:r>
      <w:r>
        <w:rPr>
          <w:rFonts w:hint="eastAsia" w:ascii="宋体" w:hAnsi="宋体" w:eastAsia="宋体" w:cs="宋体"/>
          <w:vanish w:val="0"/>
          <w:color w:val="auto"/>
          <w:sz w:val="24"/>
          <w:szCs w:val="24"/>
          <w:highlight w:val="none"/>
          <w:lang w:val="zh-CN" w:eastAsia="zh-CN"/>
        </w:rPr>
        <w:t>哨子；</w:t>
      </w:r>
      <w:bookmarkEnd w:id="289"/>
      <w:bookmarkEnd w:id="290"/>
      <w:bookmarkEnd w:id="291"/>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bookmarkStart w:id="292" w:name="_Toc31196"/>
      <w:bookmarkStart w:id="293" w:name="_Toc732"/>
      <w:bookmarkStart w:id="294" w:name="_Toc32439"/>
      <w:r>
        <w:rPr>
          <w:rFonts w:hint="eastAsia" w:ascii="宋体" w:hAnsi="宋体" w:eastAsia="宋体" w:cs="宋体"/>
          <w:vanish w:val="0"/>
          <w:color w:val="auto"/>
          <w:sz w:val="24"/>
          <w:szCs w:val="24"/>
          <w:highlight w:val="none"/>
          <w:lang w:val="en-US" w:eastAsia="zh-CN"/>
        </w:rPr>
        <w:t>3  装备</w:t>
      </w:r>
      <w:r>
        <w:rPr>
          <w:rFonts w:hint="eastAsia" w:ascii="宋体" w:hAnsi="宋体" w:cs="宋体"/>
          <w:vanish w:val="0"/>
          <w:color w:val="auto"/>
          <w:sz w:val="24"/>
          <w:szCs w:val="24"/>
          <w:highlight w:val="none"/>
          <w:lang w:val="en-US" w:eastAsia="zh-CN"/>
        </w:rPr>
        <w:t>应</w:t>
      </w:r>
      <w:r>
        <w:rPr>
          <w:rFonts w:hint="eastAsia" w:ascii="宋体" w:hAnsi="宋体" w:eastAsia="宋体" w:cs="宋体"/>
          <w:vanish w:val="0"/>
          <w:color w:val="auto"/>
          <w:sz w:val="24"/>
          <w:szCs w:val="24"/>
          <w:highlight w:val="none"/>
          <w:lang w:val="zh-CN" w:eastAsia="zh-CN"/>
        </w:rPr>
        <w:t>符合</w:t>
      </w:r>
      <w:r>
        <w:rPr>
          <w:rFonts w:hint="eastAsia" w:ascii="宋体" w:hAnsi="宋体" w:cs="宋体"/>
          <w:vanish w:val="0"/>
          <w:color w:val="auto"/>
          <w:sz w:val="24"/>
          <w:szCs w:val="24"/>
          <w:highlight w:val="none"/>
          <w:lang w:val="en-US" w:eastAsia="zh-CN"/>
        </w:rPr>
        <w:t>现行国家标准</w:t>
      </w:r>
      <w:r>
        <w:rPr>
          <w:rFonts w:hint="eastAsia" w:ascii="宋体" w:hAnsi="宋体" w:cs="宋体"/>
          <w:vanish w:val="0"/>
          <w:color w:val="auto"/>
          <w:sz w:val="24"/>
          <w:szCs w:val="24"/>
          <w:highlight w:val="none"/>
          <w:lang w:val="zh-CN" w:eastAsia="zh-CN"/>
        </w:rPr>
        <w:t>《</w:t>
      </w:r>
      <w:r>
        <w:rPr>
          <w:rFonts w:hint="eastAsia" w:ascii="宋体" w:hAnsi="宋体" w:eastAsia="宋体" w:cs="宋体"/>
          <w:vanish w:val="0"/>
          <w:color w:val="auto"/>
          <w:sz w:val="24"/>
          <w:szCs w:val="24"/>
          <w:highlight w:val="none"/>
          <w:lang w:val="en-US" w:eastAsia="zh-CN"/>
        </w:rPr>
        <w:t>400MHZ频段模拟公众无线对讲机技术规范和测量方法</w:t>
      </w:r>
      <w:r>
        <w:rPr>
          <w:rFonts w:hint="eastAsia" w:ascii="宋体" w:hAnsi="宋体" w:cs="宋体"/>
          <w:color w:val="auto"/>
          <w:highlight w:val="none"/>
          <w:lang w:eastAsia="zh-CN"/>
        </w:rPr>
        <w:t>》</w:t>
      </w:r>
      <w:r>
        <w:rPr>
          <w:rFonts w:hint="eastAsia" w:ascii="宋体" w:hAnsi="宋体" w:eastAsia="宋体" w:cs="宋体"/>
          <w:vanish w:val="0"/>
          <w:color w:val="auto"/>
          <w:sz w:val="24"/>
          <w:szCs w:val="24"/>
          <w:highlight w:val="none"/>
          <w:lang w:val="en-US" w:eastAsia="zh-CN"/>
        </w:rPr>
        <w:t xml:space="preserve">GB/T </w:t>
      </w:r>
      <w:r>
        <w:rPr>
          <w:rFonts w:hint="eastAsia" w:ascii="宋体" w:hAnsi="宋体" w:eastAsia="宋体" w:cs="宋体"/>
          <w:vanish w:val="0"/>
          <w:color w:val="auto"/>
          <w:sz w:val="24"/>
          <w:szCs w:val="24"/>
          <w:highlight w:val="none"/>
          <w:lang w:val="zh-CN" w:eastAsia="zh-CN"/>
        </w:rPr>
        <w:t>21646</w:t>
      </w:r>
      <w:r>
        <w:rPr>
          <w:rFonts w:hint="eastAsia" w:ascii="宋体" w:hAnsi="宋体" w:cs="宋体"/>
          <w:vanish w:val="0"/>
          <w:color w:val="auto"/>
          <w:sz w:val="24"/>
          <w:szCs w:val="24"/>
          <w:highlight w:val="none"/>
          <w:lang w:val="en-US" w:eastAsia="zh-CN"/>
        </w:rPr>
        <w:t>规定</w:t>
      </w:r>
      <w:r>
        <w:rPr>
          <w:rFonts w:hint="eastAsia" w:ascii="宋体" w:hAnsi="宋体" w:eastAsia="宋体" w:cs="宋体"/>
          <w:vanish w:val="0"/>
          <w:color w:val="auto"/>
          <w:sz w:val="24"/>
          <w:szCs w:val="24"/>
          <w:highlight w:val="none"/>
          <w:lang w:val="en-US" w:eastAsia="zh-CN"/>
        </w:rPr>
        <w:t>的</w:t>
      </w:r>
      <w:r>
        <w:rPr>
          <w:rFonts w:hint="eastAsia" w:ascii="宋体" w:hAnsi="宋体" w:eastAsia="宋体" w:cs="宋体"/>
          <w:vanish w:val="0"/>
          <w:color w:val="auto"/>
          <w:sz w:val="24"/>
          <w:szCs w:val="24"/>
          <w:highlight w:val="none"/>
          <w:lang w:val="zh-CN" w:eastAsia="zh-CN"/>
        </w:rPr>
        <w:t>模拟信号对讲机；</w:t>
      </w:r>
      <w:bookmarkEnd w:id="292"/>
      <w:bookmarkEnd w:id="293"/>
      <w:bookmarkEnd w:id="294"/>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bookmarkStart w:id="295" w:name="_Toc28130"/>
      <w:bookmarkStart w:id="296" w:name="_Toc26614"/>
      <w:bookmarkStart w:id="297" w:name="_Toc28587"/>
      <w:r>
        <w:rPr>
          <w:rFonts w:hint="eastAsia" w:ascii="宋体" w:hAnsi="宋体" w:eastAsia="宋体" w:cs="宋体"/>
          <w:vanish w:val="0"/>
          <w:color w:val="auto"/>
          <w:sz w:val="24"/>
          <w:szCs w:val="24"/>
          <w:highlight w:val="none"/>
          <w:lang w:val="en-US" w:eastAsia="zh-CN"/>
        </w:rPr>
        <w:t>4  装备</w:t>
      </w:r>
      <w:r>
        <w:rPr>
          <w:rFonts w:hint="eastAsia" w:ascii="宋体" w:hAnsi="宋体" w:cs="宋体"/>
          <w:vanish w:val="0"/>
          <w:color w:val="auto"/>
          <w:sz w:val="24"/>
          <w:szCs w:val="24"/>
          <w:highlight w:val="none"/>
          <w:lang w:val="en-US" w:eastAsia="zh-CN"/>
        </w:rPr>
        <w:t>应</w:t>
      </w:r>
      <w:r>
        <w:rPr>
          <w:rFonts w:hint="eastAsia" w:ascii="宋体" w:hAnsi="宋体" w:eastAsia="宋体" w:cs="宋体"/>
          <w:vanish w:val="0"/>
          <w:color w:val="auto"/>
          <w:sz w:val="24"/>
          <w:szCs w:val="24"/>
          <w:highlight w:val="none"/>
          <w:lang w:val="zh-CN" w:eastAsia="zh-CN"/>
        </w:rPr>
        <w:t>符合</w:t>
      </w:r>
      <w:r>
        <w:rPr>
          <w:rFonts w:hint="eastAsia" w:ascii="宋体" w:hAnsi="宋体" w:cs="宋体"/>
          <w:vanish w:val="0"/>
          <w:color w:val="auto"/>
          <w:sz w:val="24"/>
          <w:szCs w:val="24"/>
          <w:highlight w:val="none"/>
          <w:lang w:val="en-US" w:eastAsia="zh-CN"/>
        </w:rPr>
        <w:t>现行行业标准</w:t>
      </w:r>
      <w:r>
        <w:rPr>
          <w:rFonts w:hint="eastAsia" w:ascii="宋体" w:hAnsi="宋体" w:cs="宋体"/>
          <w:vanish w:val="0"/>
          <w:color w:val="auto"/>
          <w:sz w:val="24"/>
          <w:szCs w:val="24"/>
          <w:highlight w:val="none"/>
          <w:lang w:val="zh-CN" w:eastAsia="zh-CN"/>
        </w:rPr>
        <w:t>《</w:t>
      </w:r>
      <w:r>
        <w:rPr>
          <w:rFonts w:hint="eastAsia" w:ascii="宋体" w:hAnsi="宋体" w:eastAsia="宋体" w:cs="宋体"/>
          <w:vanish w:val="0"/>
          <w:color w:val="auto"/>
          <w:sz w:val="24"/>
          <w:szCs w:val="24"/>
          <w:highlight w:val="none"/>
          <w:lang w:val="zh-CN" w:eastAsia="zh-CN"/>
        </w:rPr>
        <w:t>约束叉》</w:t>
      </w:r>
      <w:r>
        <w:rPr>
          <w:rFonts w:hint="eastAsia" w:ascii="宋体" w:hAnsi="宋体" w:eastAsia="宋体" w:cs="宋体"/>
          <w:vanish w:val="0"/>
          <w:color w:val="auto"/>
          <w:sz w:val="24"/>
          <w:szCs w:val="24"/>
          <w:highlight w:val="none"/>
          <w:lang w:val="en-US" w:eastAsia="zh-CN"/>
        </w:rPr>
        <w:t xml:space="preserve">GA/T </w:t>
      </w:r>
      <w:r>
        <w:rPr>
          <w:rFonts w:hint="eastAsia" w:ascii="宋体" w:hAnsi="宋体" w:eastAsia="宋体" w:cs="宋体"/>
          <w:vanish w:val="0"/>
          <w:color w:val="auto"/>
          <w:sz w:val="24"/>
          <w:szCs w:val="24"/>
          <w:highlight w:val="none"/>
          <w:lang w:val="zh-CN" w:eastAsia="zh-CN"/>
        </w:rPr>
        <w:t>1145</w:t>
      </w:r>
      <w:r>
        <w:rPr>
          <w:rFonts w:hint="eastAsia" w:ascii="宋体" w:hAnsi="宋体" w:cs="宋体"/>
          <w:vanish w:val="0"/>
          <w:color w:val="auto"/>
          <w:sz w:val="24"/>
          <w:szCs w:val="24"/>
          <w:highlight w:val="none"/>
          <w:lang w:val="en-US" w:eastAsia="zh-CN"/>
        </w:rPr>
        <w:t>规定</w:t>
      </w:r>
      <w:r>
        <w:rPr>
          <w:rFonts w:hint="eastAsia" w:ascii="宋体" w:hAnsi="宋体" w:eastAsia="宋体" w:cs="宋体"/>
          <w:vanish w:val="0"/>
          <w:color w:val="auto"/>
          <w:sz w:val="24"/>
          <w:szCs w:val="24"/>
          <w:highlight w:val="none"/>
          <w:lang w:val="en-US" w:eastAsia="zh-CN"/>
        </w:rPr>
        <w:t>的</w:t>
      </w:r>
      <w:r>
        <w:rPr>
          <w:rFonts w:hint="eastAsia" w:ascii="宋体" w:hAnsi="宋体" w:eastAsia="宋体" w:cs="宋体"/>
          <w:vanish w:val="0"/>
          <w:color w:val="auto"/>
          <w:sz w:val="24"/>
          <w:szCs w:val="24"/>
          <w:highlight w:val="none"/>
          <w:lang w:val="zh-CN" w:eastAsia="zh-CN"/>
        </w:rPr>
        <w:t>防暴钢叉；</w:t>
      </w:r>
      <w:bookmarkEnd w:id="295"/>
      <w:bookmarkEnd w:id="296"/>
      <w:bookmarkEnd w:id="297"/>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bookmarkStart w:id="298" w:name="_Toc18072"/>
      <w:bookmarkStart w:id="299" w:name="_Toc18329"/>
      <w:bookmarkStart w:id="300" w:name="_Toc23655"/>
      <w:r>
        <w:rPr>
          <w:rFonts w:hint="eastAsia" w:ascii="宋体" w:hAnsi="宋体" w:eastAsia="宋体" w:cs="宋体"/>
          <w:vanish w:val="0"/>
          <w:color w:val="auto"/>
          <w:sz w:val="24"/>
          <w:szCs w:val="24"/>
          <w:highlight w:val="none"/>
          <w:lang w:val="en-US" w:eastAsia="zh-CN"/>
        </w:rPr>
        <w:t>5  装备</w:t>
      </w:r>
      <w:r>
        <w:rPr>
          <w:rFonts w:hint="eastAsia" w:ascii="宋体" w:hAnsi="宋体" w:cs="宋体"/>
          <w:vanish w:val="0"/>
          <w:color w:val="auto"/>
          <w:sz w:val="24"/>
          <w:szCs w:val="24"/>
          <w:highlight w:val="none"/>
          <w:lang w:val="en-US" w:eastAsia="zh-CN"/>
        </w:rPr>
        <w:t>应</w:t>
      </w:r>
      <w:r>
        <w:rPr>
          <w:rFonts w:hint="eastAsia" w:ascii="宋体" w:hAnsi="宋体" w:eastAsia="宋体" w:cs="宋体"/>
          <w:vanish w:val="0"/>
          <w:color w:val="auto"/>
          <w:sz w:val="24"/>
          <w:szCs w:val="24"/>
          <w:highlight w:val="none"/>
          <w:lang w:val="zh-CN" w:eastAsia="zh-CN"/>
        </w:rPr>
        <w:t>符合</w:t>
      </w:r>
      <w:r>
        <w:rPr>
          <w:rFonts w:hint="eastAsia" w:ascii="宋体" w:hAnsi="宋体" w:cs="宋体"/>
          <w:vanish w:val="0"/>
          <w:color w:val="auto"/>
          <w:sz w:val="24"/>
          <w:szCs w:val="24"/>
          <w:highlight w:val="none"/>
          <w:lang w:val="en-US" w:eastAsia="zh-CN"/>
        </w:rPr>
        <w:t>现行行业标准</w:t>
      </w:r>
      <w:r>
        <w:rPr>
          <w:rFonts w:hint="eastAsia" w:ascii="宋体" w:hAnsi="宋体" w:cs="宋体"/>
          <w:vanish w:val="0"/>
          <w:color w:val="auto"/>
          <w:sz w:val="24"/>
          <w:szCs w:val="24"/>
          <w:highlight w:val="none"/>
          <w:lang w:val="zh-CN" w:eastAsia="zh-CN"/>
        </w:rPr>
        <w:t>《</w:t>
      </w:r>
      <w:r>
        <w:rPr>
          <w:rFonts w:hint="eastAsia" w:ascii="宋体" w:hAnsi="宋体" w:eastAsia="宋体" w:cs="宋体"/>
          <w:vanish w:val="0"/>
          <w:color w:val="auto"/>
          <w:sz w:val="24"/>
          <w:szCs w:val="24"/>
          <w:highlight w:val="none"/>
          <w:lang w:val="zh-CN" w:eastAsia="zh-CN"/>
        </w:rPr>
        <w:t>防暴头盔》</w:t>
      </w:r>
      <w:r>
        <w:rPr>
          <w:rFonts w:hint="eastAsia" w:ascii="宋体" w:hAnsi="宋体" w:eastAsia="宋体" w:cs="宋体"/>
          <w:vanish w:val="0"/>
          <w:color w:val="auto"/>
          <w:sz w:val="24"/>
          <w:szCs w:val="24"/>
          <w:highlight w:val="none"/>
          <w:lang w:val="en-US" w:eastAsia="zh-CN"/>
        </w:rPr>
        <w:t xml:space="preserve">GA </w:t>
      </w:r>
      <w:r>
        <w:rPr>
          <w:rFonts w:hint="eastAsia" w:ascii="宋体" w:hAnsi="宋体" w:eastAsia="宋体" w:cs="宋体"/>
          <w:vanish w:val="0"/>
          <w:color w:val="auto"/>
          <w:sz w:val="24"/>
          <w:szCs w:val="24"/>
          <w:highlight w:val="none"/>
          <w:lang w:val="zh-CN" w:eastAsia="zh-CN"/>
        </w:rPr>
        <w:t>294</w:t>
      </w:r>
      <w:r>
        <w:rPr>
          <w:rFonts w:hint="eastAsia" w:ascii="宋体" w:hAnsi="宋体" w:cs="宋体"/>
          <w:vanish w:val="0"/>
          <w:color w:val="auto"/>
          <w:sz w:val="24"/>
          <w:szCs w:val="24"/>
          <w:highlight w:val="none"/>
          <w:lang w:val="en-US" w:eastAsia="zh-CN"/>
        </w:rPr>
        <w:t>规定</w:t>
      </w:r>
      <w:r>
        <w:rPr>
          <w:rFonts w:hint="eastAsia" w:ascii="宋体" w:hAnsi="宋体" w:eastAsia="宋体" w:cs="宋体"/>
          <w:vanish w:val="0"/>
          <w:color w:val="auto"/>
          <w:sz w:val="24"/>
          <w:szCs w:val="24"/>
          <w:highlight w:val="none"/>
          <w:lang w:val="en-US" w:eastAsia="zh-CN"/>
        </w:rPr>
        <w:t>的</w:t>
      </w:r>
      <w:r>
        <w:rPr>
          <w:rFonts w:hint="eastAsia" w:ascii="宋体" w:hAnsi="宋体" w:eastAsia="宋体" w:cs="宋体"/>
          <w:vanish w:val="0"/>
          <w:color w:val="auto"/>
          <w:sz w:val="24"/>
          <w:szCs w:val="24"/>
          <w:highlight w:val="none"/>
          <w:lang w:val="zh-CN" w:eastAsia="zh-CN"/>
        </w:rPr>
        <w:t>防暴头盔；</w:t>
      </w:r>
      <w:bookmarkEnd w:id="298"/>
      <w:bookmarkEnd w:id="299"/>
      <w:bookmarkEnd w:id="300"/>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bookmarkStart w:id="301" w:name="_Toc20686"/>
      <w:bookmarkStart w:id="302" w:name="_Toc4712"/>
      <w:bookmarkStart w:id="303" w:name="_Toc14018"/>
      <w:r>
        <w:rPr>
          <w:rFonts w:hint="eastAsia" w:ascii="宋体" w:hAnsi="宋体" w:eastAsia="宋体" w:cs="宋体"/>
          <w:vanish w:val="0"/>
          <w:color w:val="auto"/>
          <w:sz w:val="24"/>
          <w:szCs w:val="24"/>
          <w:highlight w:val="none"/>
          <w:lang w:val="en-US" w:eastAsia="zh-CN"/>
        </w:rPr>
        <w:t>6  装备</w:t>
      </w:r>
      <w:r>
        <w:rPr>
          <w:rFonts w:hint="eastAsia" w:ascii="宋体" w:hAnsi="宋体" w:cs="宋体"/>
          <w:vanish w:val="0"/>
          <w:color w:val="auto"/>
          <w:sz w:val="24"/>
          <w:szCs w:val="24"/>
          <w:highlight w:val="none"/>
          <w:lang w:val="en-US" w:eastAsia="zh-CN"/>
        </w:rPr>
        <w:t>应</w:t>
      </w:r>
      <w:r>
        <w:rPr>
          <w:rFonts w:hint="eastAsia" w:ascii="宋体" w:hAnsi="宋体" w:eastAsia="宋体" w:cs="宋体"/>
          <w:vanish w:val="0"/>
          <w:color w:val="auto"/>
          <w:sz w:val="24"/>
          <w:szCs w:val="24"/>
          <w:highlight w:val="none"/>
          <w:lang w:val="zh-CN" w:eastAsia="zh-CN"/>
        </w:rPr>
        <w:t>符合</w:t>
      </w:r>
      <w:r>
        <w:rPr>
          <w:rFonts w:hint="eastAsia" w:ascii="宋体" w:hAnsi="宋体" w:cs="宋体"/>
          <w:vanish w:val="0"/>
          <w:color w:val="auto"/>
          <w:sz w:val="24"/>
          <w:szCs w:val="24"/>
          <w:highlight w:val="none"/>
          <w:lang w:val="en-US" w:eastAsia="zh-CN"/>
        </w:rPr>
        <w:t>现行行业标准</w:t>
      </w:r>
      <w:r>
        <w:rPr>
          <w:rFonts w:hint="eastAsia" w:ascii="宋体" w:hAnsi="宋体" w:cs="宋体"/>
          <w:vanish w:val="0"/>
          <w:color w:val="auto"/>
          <w:sz w:val="24"/>
          <w:szCs w:val="24"/>
          <w:highlight w:val="none"/>
          <w:lang w:val="zh-CN" w:eastAsia="zh-CN"/>
        </w:rPr>
        <w:t>《</w:t>
      </w:r>
      <w:r>
        <w:rPr>
          <w:rFonts w:hint="eastAsia" w:ascii="宋体" w:hAnsi="宋体" w:eastAsia="宋体" w:cs="宋体"/>
          <w:vanish w:val="0"/>
          <w:color w:val="auto"/>
          <w:sz w:val="24"/>
          <w:szCs w:val="24"/>
          <w:highlight w:val="none"/>
          <w:lang w:val="zh-CN" w:eastAsia="zh-CN"/>
        </w:rPr>
        <w:t>防割手套》</w:t>
      </w:r>
      <w:r>
        <w:rPr>
          <w:rFonts w:hint="eastAsia" w:ascii="宋体" w:hAnsi="宋体" w:eastAsia="宋体" w:cs="宋体"/>
          <w:vanish w:val="0"/>
          <w:color w:val="auto"/>
          <w:sz w:val="24"/>
          <w:szCs w:val="24"/>
          <w:highlight w:val="none"/>
          <w:lang w:val="en-US" w:eastAsia="zh-CN"/>
        </w:rPr>
        <w:t>GA 614</w:t>
      </w:r>
      <w:r>
        <w:rPr>
          <w:rFonts w:hint="eastAsia" w:ascii="宋体" w:hAnsi="宋体" w:cs="宋体"/>
          <w:vanish w:val="0"/>
          <w:color w:val="auto"/>
          <w:sz w:val="24"/>
          <w:szCs w:val="24"/>
          <w:highlight w:val="none"/>
          <w:lang w:val="en-US" w:eastAsia="zh-CN"/>
        </w:rPr>
        <w:t>规定</w:t>
      </w:r>
      <w:r>
        <w:rPr>
          <w:rFonts w:hint="eastAsia" w:ascii="宋体" w:hAnsi="宋体" w:eastAsia="宋体" w:cs="宋体"/>
          <w:vanish w:val="0"/>
          <w:color w:val="auto"/>
          <w:sz w:val="24"/>
          <w:szCs w:val="24"/>
          <w:highlight w:val="none"/>
          <w:lang w:val="zh-CN" w:eastAsia="zh-CN"/>
        </w:rPr>
        <w:t>的防割（防刺）手套；</w:t>
      </w:r>
      <w:bookmarkEnd w:id="301"/>
      <w:bookmarkEnd w:id="302"/>
      <w:bookmarkEnd w:id="303"/>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bookmarkStart w:id="304" w:name="_Toc31418"/>
      <w:bookmarkStart w:id="305" w:name="_Toc2822"/>
      <w:bookmarkStart w:id="306" w:name="_Toc28815"/>
      <w:r>
        <w:rPr>
          <w:rFonts w:hint="eastAsia" w:ascii="宋体" w:hAnsi="宋体" w:eastAsia="宋体" w:cs="宋体"/>
          <w:vanish w:val="0"/>
          <w:color w:val="auto"/>
          <w:sz w:val="24"/>
          <w:szCs w:val="24"/>
          <w:highlight w:val="none"/>
          <w:lang w:val="en-US" w:eastAsia="zh-CN"/>
        </w:rPr>
        <w:t>7  装备</w:t>
      </w:r>
      <w:r>
        <w:rPr>
          <w:rFonts w:hint="eastAsia" w:ascii="宋体" w:hAnsi="宋体" w:cs="宋体"/>
          <w:vanish w:val="0"/>
          <w:color w:val="auto"/>
          <w:sz w:val="24"/>
          <w:szCs w:val="24"/>
          <w:highlight w:val="none"/>
          <w:lang w:val="en-US" w:eastAsia="zh-CN"/>
        </w:rPr>
        <w:t>应</w:t>
      </w:r>
      <w:r>
        <w:rPr>
          <w:rFonts w:hint="eastAsia" w:ascii="宋体" w:hAnsi="宋体" w:eastAsia="宋体" w:cs="宋体"/>
          <w:vanish w:val="0"/>
          <w:color w:val="auto"/>
          <w:sz w:val="24"/>
          <w:szCs w:val="24"/>
          <w:highlight w:val="none"/>
          <w:lang w:val="zh-CN" w:eastAsia="zh-CN"/>
        </w:rPr>
        <w:t>符合</w:t>
      </w:r>
      <w:r>
        <w:rPr>
          <w:rFonts w:hint="eastAsia" w:ascii="宋体" w:hAnsi="宋体" w:cs="宋体"/>
          <w:vanish w:val="0"/>
          <w:color w:val="auto"/>
          <w:sz w:val="24"/>
          <w:szCs w:val="24"/>
          <w:highlight w:val="none"/>
          <w:lang w:val="en-US" w:eastAsia="zh-CN"/>
        </w:rPr>
        <w:t>现行</w:t>
      </w:r>
      <w:r>
        <w:rPr>
          <w:rFonts w:hint="eastAsia" w:ascii="宋体" w:hAnsi="宋体" w:eastAsia="宋体" w:cs="宋体"/>
          <w:vanish w:val="0"/>
          <w:color w:val="auto"/>
          <w:sz w:val="24"/>
          <w:szCs w:val="24"/>
          <w:highlight w:val="none"/>
          <w:lang w:val="en-US" w:eastAsia="zh-CN"/>
        </w:rPr>
        <w:t>行业标准</w:t>
      </w:r>
      <w:r>
        <w:rPr>
          <w:rFonts w:hint="eastAsia" w:ascii="宋体" w:hAnsi="宋体" w:eastAsia="宋体" w:cs="宋体"/>
          <w:vanish w:val="0"/>
          <w:color w:val="auto"/>
          <w:sz w:val="24"/>
          <w:szCs w:val="24"/>
          <w:highlight w:val="none"/>
          <w:lang w:val="zh-CN" w:eastAsia="zh-CN"/>
        </w:rPr>
        <w:t>《</w:t>
      </w:r>
      <w:r>
        <w:rPr>
          <w:rFonts w:hint="eastAsia" w:ascii="宋体" w:hAnsi="宋体" w:eastAsia="宋体" w:cs="宋体"/>
          <w:vanish w:val="0"/>
          <w:color w:val="auto"/>
          <w:sz w:val="24"/>
          <w:szCs w:val="24"/>
          <w:highlight w:val="none"/>
          <w:lang w:val="en-US" w:eastAsia="zh-CN"/>
        </w:rPr>
        <w:t>警用防刺服</w:t>
      </w:r>
      <w:r>
        <w:rPr>
          <w:rFonts w:hint="eastAsia" w:ascii="宋体" w:hAnsi="宋体" w:eastAsia="宋体" w:cs="宋体"/>
          <w:vanish w:val="0"/>
          <w:color w:val="auto"/>
          <w:sz w:val="24"/>
          <w:szCs w:val="24"/>
          <w:highlight w:val="none"/>
          <w:lang w:val="zh-CN" w:eastAsia="zh-CN"/>
        </w:rPr>
        <w:t>》</w:t>
      </w:r>
      <w:r>
        <w:rPr>
          <w:rFonts w:hint="eastAsia" w:ascii="宋体" w:hAnsi="宋体" w:eastAsia="宋体" w:cs="宋体"/>
          <w:vanish w:val="0"/>
          <w:color w:val="auto"/>
          <w:sz w:val="24"/>
          <w:szCs w:val="24"/>
          <w:highlight w:val="none"/>
          <w:lang w:val="en-US" w:eastAsia="zh-CN"/>
        </w:rPr>
        <w:t xml:space="preserve">GA </w:t>
      </w:r>
      <w:r>
        <w:rPr>
          <w:rFonts w:hint="eastAsia" w:ascii="宋体" w:hAnsi="宋体" w:eastAsia="宋体" w:cs="宋体"/>
          <w:vanish w:val="0"/>
          <w:color w:val="auto"/>
          <w:sz w:val="24"/>
          <w:szCs w:val="24"/>
          <w:highlight w:val="none"/>
          <w:lang w:val="zh-CN" w:eastAsia="zh-CN"/>
        </w:rPr>
        <w:t>68</w:t>
      </w:r>
      <w:r>
        <w:rPr>
          <w:rFonts w:hint="eastAsia" w:ascii="宋体" w:hAnsi="宋体" w:eastAsia="宋体" w:cs="宋体"/>
          <w:vanish w:val="0"/>
          <w:color w:val="auto"/>
          <w:sz w:val="24"/>
          <w:szCs w:val="24"/>
          <w:highlight w:val="none"/>
          <w:lang w:val="en-US" w:eastAsia="zh-CN"/>
        </w:rPr>
        <w:t>规</w:t>
      </w:r>
      <w:r>
        <w:rPr>
          <w:rFonts w:hint="eastAsia" w:ascii="宋体" w:hAnsi="宋体" w:cs="宋体"/>
          <w:vanish w:val="0"/>
          <w:color w:val="auto"/>
          <w:sz w:val="24"/>
          <w:szCs w:val="24"/>
          <w:highlight w:val="none"/>
          <w:lang w:val="en-US" w:eastAsia="zh-CN"/>
        </w:rPr>
        <w:t>定</w:t>
      </w:r>
      <w:r>
        <w:rPr>
          <w:rFonts w:hint="eastAsia" w:ascii="宋体" w:hAnsi="宋体" w:eastAsia="宋体" w:cs="宋体"/>
          <w:vanish w:val="0"/>
          <w:color w:val="auto"/>
          <w:sz w:val="24"/>
          <w:szCs w:val="24"/>
          <w:highlight w:val="none"/>
          <w:lang w:val="en-US" w:eastAsia="zh-CN"/>
        </w:rPr>
        <w:t>的</w:t>
      </w:r>
      <w:r>
        <w:rPr>
          <w:rFonts w:hint="eastAsia" w:ascii="宋体" w:hAnsi="宋体" w:eastAsia="宋体" w:cs="宋体"/>
          <w:vanish w:val="0"/>
          <w:color w:val="auto"/>
          <w:sz w:val="24"/>
          <w:szCs w:val="24"/>
          <w:highlight w:val="none"/>
          <w:lang w:val="zh-CN" w:eastAsia="zh-CN"/>
        </w:rPr>
        <w:t>防刺服；</w:t>
      </w:r>
      <w:bookmarkEnd w:id="304"/>
      <w:bookmarkEnd w:id="305"/>
      <w:bookmarkEnd w:id="306"/>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zh-CN" w:eastAsia="zh-CN"/>
        </w:rPr>
      </w:pPr>
      <w:bookmarkStart w:id="307" w:name="_Toc12362"/>
      <w:bookmarkStart w:id="308" w:name="_Toc30906"/>
      <w:bookmarkStart w:id="309" w:name="_Toc26095"/>
      <w:r>
        <w:rPr>
          <w:rFonts w:hint="eastAsia" w:ascii="宋体" w:hAnsi="宋体" w:eastAsia="宋体" w:cs="宋体"/>
          <w:vanish w:val="0"/>
          <w:color w:val="auto"/>
          <w:sz w:val="24"/>
          <w:szCs w:val="24"/>
          <w:highlight w:val="none"/>
          <w:lang w:val="en-US" w:eastAsia="zh-CN"/>
        </w:rPr>
        <w:t>8  装备</w:t>
      </w:r>
      <w:r>
        <w:rPr>
          <w:rFonts w:hint="eastAsia" w:ascii="宋体" w:hAnsi="宋体" w:cs="宋体"/>
          <w:vanish w:val="0"/>
          <w:color w:val="auto"/>
          <w:sz w:val="24"/>
          <w:szCs w:val="24"/>
          <w:highlight w:val="none"/>
          <w:lang w:val="en-US" w:eastAsia="zh-CN"/>
        </w:rPr>
        <w:t>应</w:t>
      </w:r>
      <w:r>
        <w:rPr>
          <w:rFonts w:hint="eastAsia" w:ascii="宋体" w:hAnsi="宋体" w:eastAsia="宋体" w:cs="宋体"/>
          <w:vanish w:val="0"/>
          <w:color w:val="auto"/>
          <w:sz w:val="24"/>
          <w:szCs w:val="24"/>
          <w:highlight w:val="none"/>
          <w:lang w:val="zh-CN" w:eastAsia="zh-CN"/>
        </w:rPr>
        <w:t>符合</w:t>
      </w:r>
      <w:r>
        <w:rPr>
          <w:rFonts w:hint="eastAsia" w:ascii="宋体" w:hAnsi="宋体" w:cs="宋体"/>
          <w:vanish w:val="0"/>
          <w:color w:val="auto"/>
          <w:sz w:val="24"/>
          <w:szCs w:val="24"/>
          <w:highlight w:val="none"/>
          <w:lang w:val="en-US" w:eastAsia="zh-CN"/>
        </w:rPr>
        <w:t>现行国家标准</w:t>
      </w:r>
      <w:r>
        <w:rPr>
          <w:rFonts w:hint="eastAsia" w:ascii="宋体" w:hAnsi="宋体" w:eastAsia="宋体" w:cs="宋体"/>
          <w:vanish w:val="0"/>
          <w:color w:val="auto"/>
          <w:sz w:val="24"/>
          <w:szCs w:val="24"/>
          <w:highlight w:val="none"/>
          <w:lang w:val="zh-CN" w:eastAsia="zh-CN"/>
        </w:rPr>
        <w:t>《</w:t>
      </w:r>
      <w:r>
        <w:rPr>
          <w:rFonts w:hint="eastAsia" w:ascii="宋体" w:hAnsi="宋体" w:eastAsia="宋体" w:cs="宋体"/>
          <w:vanish w:val="0"/>
          <w:color w:val="auto"/>
          <w:sz w:val="24"/>
          <w:szCs w:val="24"/>
          <w:highlight w:val="none"/>
          <w:lang w:val="en-US" w:eastAsia="zh-CN"/>
        </w:rPr>
        <w:t>防护服装  化学防护服</w:t>
      </w:r>
      <w:r>
        <w:rPr>
          <w:rFonts w:hint="eastAsia" w:ascii="宋体" w:hAnsi="宋体" w:eastAsia="宋体" w:cs="宋体"/>
          <w:vanish w:val="0"/>
          <w:color w:val="auto"/>
          <w:sz w:val="24"/>
          <w:szCs w:val="24"/>
          <w:highlight w:val="none"/>
          <w:lang w:val="zh-CN" w:eastAsia="zh-CN"/>
        </w:rPr>
        <w:t>》GB 24539</w:t>
      </w:r>
      <w:r>
        <w:rPr>
          <w:rFonts w:hint="eastAsia" w:ascii="宋体" w:hAnsi="宋体" w:eastAsia="宋体" w:cs="宋体"/>
          <w:vanish w:val="0"/>
          <w:color w:val="auto"/>
          <w:sz w:val="24"/>
          <w:szCs w:val="24"/>
          <w:highlight w:val="none"/>
          <w:lang w:val="en-US" w:eastAsia="zh-CN"/>
        </w:rPr>
        <w:t>规定</w:t>
      </w:r>
      <w:r>
        <w:rPr>
          <w:rFonts w:hint="eastAsia" w:ascii="宋体" w:hAnsi="宋体" w:eastAsia="宋体" w:cs="宋体"/>
          <w:vanish w:val="0"/>
          <w:color w:val="auto"/>
          <w:sz w:val="24"/>
          <w:szCs w:val="24"/>
          <w:highlight w:val="none"/>
          <w:lang w:val="zh-CN" w:eastAsia="zh-CN"/>
        </w:rPr>
        <w:t>的化学防护服；</w:t>
      </w:r>
      <w:bookmarkEnd w:id="307"/>
      <w:bookmarkEnd w:id="308"/>
      <w:bookmarkEnd w:id="309"/>
      <w:r>
        <w:rPr>
          <w:rFonts w:hint="eastAsia" w:ascii="宋体" w:hAnsi="宋体" w:eastAsia="宋体" w:cs="宋体"/>
          <w:vanish w:val="0"/>
          <w:color w:val="auto"/>
          <w:sz w:val="24"/>
          <w:szCs w:val="24"/>
          <w:highlight w:val="none"/>
          <w:lang w:val="zh-CN" w:eastAsia="zh-CN"/>
        </w:rPr>
        <w:t xml:space="preserve">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zh-CN" w:eastAsia="zh-CN"/>
        </w:rPr>
      </w:pPr>
      <w:bookmarkStart w:id="310" w:name="_Toc1128"/>
      <w:bookmarkStart w:id="311" w:name="_Toc565"/>
      <w:bookmarkStart w:id="312" w:name="_Toc11840"/>
      <w:r>
        <w:rPr>
          <w:rFonts w:hint="eastAsia" w:ascii="宋体" w:hAnsi="宋体" w:eastAsia="宋体" w:cs="宋体"/>
          <w:vanish w:val="0"/>
          <w:color w:val="auto"/>
          <w:sz w:val="24"/>
          <w:szCs w:val="24"/>
          <w:highlight w:val="none"/>
          <w:lang w:val="en-US" w:eastAsia="zh-CN"/>
        </w:rPr>
        <w:t>9  装备</w:t>
      </w:r>
      <w:r>
        <w:rPr>
          <w:rFonts w:hint="eastAsia" w:ascii="宋体" w:hAnsi="宋体" w:cs="宋体"/>
          <w:vanish w:val="0"/>
          <w:color w:val="auto"/>
          <w:sz w:val="24"/>
          <w:szCs w:val="24"/>
          <w:highlight w:val="none"/>
          <w:lang w:val="en-US" w:eastAsia="zh-CN"/>
        </w:rPr>
        <w:t>应</w:t>
      </w:r>
      <w:r>
        <w:rPr>
          <w:rFonts w:hint="eastAsia" w:ascii="宋体" w:hAnsi="宋体" w:eastAsia="宋体" w:cs="宋体"/>
          <w:vanish w:val="0"/>
          <w:color w:val="auto"/>
          <w:sz w:val="24"/>
          <w:szCs w:val="24"/>
          <w:highlight w:val="none"/>
          <w:lang w:val="zh-CN" w:eastAsia="zh-CN"/>
        </w:rPr>
        <w:t>符合</w:t>
      </w:r>
      <w:r>
        <w:rPr>
          <w:rFonts w:hint="eastAsia" w:ascii="宋体" w:hAnsi="宋体" w:cs="宋体"/>
          <w:vanish w:val="0"/>
          <w:color w:val="auto"/>
          <w:sz w:val="24"/>
          <w:szCs w:val="24"/>
          <w:highlight w:val="none"/>
          <w:lang w:val="en-US" w:eastAsia="zh-CN"/>
        </w:rPr>
        <w:t>现行</w:t>
      </w:r>
      <w:r>
        <w:rPr>
          <w:rFonts w:hint="eastAsia" w:ascii="宋体" w:hAnsi="宋体" w:eastAsia="宋体" w:cs="宋体"/>
          <w:vanish w:val="0"/>
          <w:color w:val="auto"/>
          <w:sz w:val="24"/>
          <w:szCs w:val="24"/>
          <w:highlight w:val="none"/>
          <w:lang w:val="en-US" w:eastAsia="zh-CN"/>
        </w:rPr>
        <w:t>行业标准</w:t>
      </w:r>
      <w:r>
        <w:rPr>
          <w:rFonts w:hint="eastAsia" w:ascii="宋体" w:hAnsi="宋体" w:eastAsia="宋体" w:cs="宋体"/>
          <w:vanish w:val="0"/>
          <w:color w:val="auto"/>
          <w:sz w:val="24"/>
          <w:szCs w:val="24"/>
          <w:highlight w:val="none"/>
          <w:lang w:val="zh-CN" w:eastAsia="zh-CN"/>
        </w:rPr>
        <w:t>《</w:t>
      </w:r>
      <w:r>
        <w:rPr>
          <w:rFonts w:hint="eastAsia" w:ascii="宋体" w:hAnsi="宋体" w:eastAsia="宋体" w:cs="宋体"/>
          <w:vanish w:val="0"/>
          <w:color w:val="auto"/>
          <w:sz w:val="24"/>
          <w:szCs w:val="24"/>
          <w:highlight w:val="none"/>
          <w:lang w:val="en-US" w:eastAsia="zh-CN"/>
        </w:rPr>
        <w:t>防爆毯</w:t>
      </w:r>
      <w:r>
        <w:rPr>
          <w:rFonts w:hint="eastAsia" w:ascii="宋体" w:hAnsi="宋体" w:eastAsia="宋体" w:cs="宋体"/>
          <w:vanish w:val="0"/>
          <w:color w:val="auto"/>
          <w:sz w:val="24"/>
          <w:szCs w:val="24"/>
          <w:highlight w:val="none"/>
          <w:lang w:val="zh-CN" w:eastAsia="zh-CN"/>
        </w:rPr>
        <w:t>》GA</w:t>
      </w:r>
      <w:r>
        <w:rPr>
          <w:rFonts w:hint="eastAsia" w:ascii="宋体" w:hAnsi="宋体" w:eastAsia="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zh-CN" w:eastAsia="zh-CN"/>
        </w:rPr>
        <w:t>69</w:t>
      </w:r>
      <w:r>
        <w:rPr>
          <w:rFonts w:hint="eastAsia" w:ascii="宋体" w:hAnsi="宋体" w:eastAsia="宋体" w:cs="宋体"/>
          <w:vanish w:val="0"/>
          <w:color w:val="auto"/>
          <w:sz w:val="24"/>
          <w:szCs w:val="24"/>
          <w:highlight w:val="none"/>
          <w:lang w:val="en-US" w:eastAsia="zh-CN"/>
        </w:rPr>
        <w:t>规定</w:t>
      </w:r>
      <w:r>
        <w:rPr>
          <w:rFonts w:hint="eastAsia" w:ascii="宋体" w:hAnsi="宋体" w:eastAsia="宋体" w:cs="宋体"/>
          <w:vanish w:val="0"/>
          <w:color w:val="auto"/>
          <w:sz w:val="24"/>
          <w:szCs w:val="24"/>
          <w:highlight w:val="none"/>
          <w:lang w:val="zh-CN" w:eastAsia="zh-CN"/>
        </w:rPr>
        <w:t>的防爆毯。</w:t>
      </w:r>
      <w:bookmarkEnd w:id="310"/>
      <w:bookmarkEnd w:id="311"/>
      <w:bookmarkEnd w:id="312"/>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default" w:ascii="宋体" w:hAnsi="宋体" w:eastAsia="宋体" w:cs="宋体"/>
          <w:b/>
          <w:bCs/>
          <w:color w:val="auto"/>
          <w:sz w:val="24"/>
          <w:szCs w:val="24"/>
          <w:highlight w:val="none"/>
          <w:lang w:val="en-US" w:eastAsia="zh-CN"/>
        </w:rPr>
      </w:pPr>
      <w:bookmarkStart w:id="313" w:name="_Toc16267"/>
      <w:r>
        <w:rPr>
          <w:rFonts w:hint="eastAsia" w:ascii="宋体" w:hAnsi="宋体" w:eastAsia="宋体" w:cs="宋体"/>
          <w:b/>
          <w:bCs/>
          <w:color w:val="auto"/>
          <w:sz w:val="24"/>
          <w:szCs w:val="24"/>
          <w:highlight w:val="none"/>
          <w:lang w:val="en-US" w:eastAsia="zh-CN"/>
        </w:rPr>
        <w:t>Ⅴ  常态三级防恐要求</w:t>
      </w:r>
      <w:bookmarkEnd w:id="313"/>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zh-CN" w:eastAsia="zh-CN"/>
        </w:rPr>
      </w:pPr>
      <w:r>
        <w:rPr>
          <w:rFonts w:hint="eastAsia" w:ascii="Times New Roman" w:hAnsi="Times New Roman" w:eastAsia="宋体" w:cs="Times New Roman"/>
          <w:b/>
          <w:bCs/>
          <w:i w:val="0"/>
          <w:color w:val="auto"/>
          <w:kern w:val="2"/>
          <w:sz w:val="24"/>
          <w:szCs w:val="24"/>
          <w:highlight w:val="none"/>
          <w:lang w:val="en-US" w:eastAsia="zh-CN" w:bidi="ar-SA"/>
        </w:rPr>
        <w:t>11.1.</w:t>
      </w:r>
      <w:r>
        <w:rPr>
          <w:rFonts w:hint="eastAsia" w:ascii="Times New Roman" w:hAnsi="Times New Roman" w:cs="Times New Roman"/>
          <w:b/>
          <w:bCs/>
          <w:i w:val="0"/>
          <w:color w:val="auto"/>
          <w:kern w:val="2"/>
          <w:sz w:val="24"/>
          <w:szCs w:val="24"/>
          <w:highlight w:val="none"/>
          <w:lang w:val="en-US" w:eastAsia="zh-CN" w:bidi="ar-SA"/>
        </w:rPr>
        <w:t>17</w:t>
      </w:r>
      <w:r>
        <w:rPr>
          <w:rFonts w:hint="eastAsia" w:ascii="宋体" w:hAnsi="宋体" w:eastAsia="宋体" w:cs="宋体"/>
          <w:vanish w:val="0"/>
          <w:color w:val="auto"/>
          <w:sz w:val="24"/>
          <w:szCs w:val="24"/>
          <w:highlight w:val="none"/>
          <w:lang w:val="en-US" w:eastAsia="zh-CN"/>
        </w:rPr>
        <w:t xml:space="preserve">  重点目标分级管理：物业服务企业按电力企业驻地单位</w:t>
      </w:r>
      <w:r>
        <w:rPr>
          <w:rFonts w:hint="eastAsia" w:ascii="宋体" w:hAnsi="宋体" w:eastAsia="宋体" w:cs="宋体"/>
          <w:vanish w:val="0"/>
          <w:color w:val="auto"/>
          <w:sz w:val="24"/>
          <w:szCs w:val="24"/>
          <w:highlight w:val="none"/>
          <w:lang w:val="zh-CN" w:eastAsia="zh-CN"/>
        </w:rPr>
        <w:t>对重点部位（</w:t>
      </w:r>
      <w:r>
        <w:rPr>
          <w:rFonts w:hint="eastAsia" w:ascii="宋体" w:hAnsi="宋体" w:eastAsia="宋体" w:cs="宋体"/>
          <w:vanish w:val="0"/>
          <w:color w:val="auto"/>
          <w:sz w:val="24"/>
          <w:szCs w:val="24"/>
          <w:highlight w:val="none"/>
          <w:lang w:val="en-US" w:eastAsia="zh-CN"/>
        </w:rPr>
        <w:t>见附录E），</w:t>
      </w:r>
      <w:r>
        <w:rPr>
          <w:rFonts w:hint="eastAsia" w:ascii="宋体" w:hAnsi="宋体" w:eastAsia="宋体" w:cs="宋体"/>
          <w:vanish w:val="0"/>
          <w:color w:val="auto"/>
          <w:sz w:val="24"/>
          <w:szCs w:val="24"/>
          <w:highlight w:val="none"/>
          <w:lang w:val="zh-CN" w:eastAsia="zh-CN"/>
        </w:rPr>
        <w:t>治安反恐防范重点目标分级管理</w:t>
      </w:r>
      <w:r>
        <w:rPr>
          <w:rFonts w:hint="eastAsia" w:ascii="宋体" w:hAnsi="宋体" w:eastAsia="宋体" w:cs="宋体"/>
          <w:vanish w:val="0"/>
          <w:color w:val="auto"/>
          <w:sz w:val="24"/>
          <w:szCs w:val="24"/>
          <w:highlight w:val="none"/>
          <w:lang w:val="en-US" w:eastAsia="zh-CN"/>
        </w:rPr>
        <w:t>要求</w:t>
      </w:r>
      <w:r>
        <w:rPr>
          <w:rFonts w:hint="eastAsia" w:ascii="宋体" w:hAnsi="宋体" w:eastAsia="宋体" w:cs="宋体"/>
          <w:vanish w:val="0"/>
          <w:color w:val="auto"/>
          <w:sz w:val="24"/>
          <w:szCs w:val="24"/>
          <w:highlight w:val="none"/>
          <w:lang w:val="zh-CN" w:eastAsia="zh-CN"/>
        </w:rPr>
        <w:t>（重点目标</w:t>
      </w:r>
      <w:r>
        <w:rPr>
          <w:rFonts w:hint="eastAsia" w:ascii="宋体" w:hAnsi="宋体" w:eastAsia="宋体" w:cs="宋体"/>
          <w:vanish w:val="0"/>
          <w:color w:val="auto"/>
          <w:sz w:val="24"/>
          <w:szCs w:val="24"/>
          <w:highlight w:val="none"/>
          <w:lang w:val="en-US" w:eastAsia="zh-CN"/>
        </w:rPr>
        <w:t>分级由电力企业驻地单位</w:t>
      </w:r>
      <w:r>
        <w:rPr>
          <w:rFonts w:hint="eastAsia" w:ascii="宋体" w:hAnsi="宋体" w:eastAsia="宋体" w:cs="宋体"/>
          <w:vanish w:val="0"/>
          <w:color w:val="auto"/>
          <w:sz w:val="24"/>
          <w:szCs w:val="24"/>
          <w:highlight w:val="none"/>
          <w:lang w:val="zh-CN" w:eastAsia="zh-CN"/>
        </w:rPr>
        <w:t>会同属地公安部门依据有关规定认定</w:t>
      </w:r>
      <w:r>
        <w:rPr>
          <w:rFonts w:hint="eastAsia" w:ascii="宋体" w:hAnsi="宋体" w:eastAsia="宋体" w:cs="宋体"/>
          <w:vanish w:val="0"/>
          <w:color w:val="auto"/>
          <w:sz w:val="24"/>
          <w:szCs w:val="24"/>
          <w:highlight w:val="none"/>
          <w:lang w:val="en-US" w:eastAsia="zh-CN"/>
        </w:rPr>
        <w:t>及</w:t>
      </w:r>
      <w:r>
        <w:rPr>
          <w:rFonts w:hint="eastAsia" w:ascii="宋体" w:hAnsi="宋体" w:eastAsia="宋体" w:cs="宋体"/>
          <w:vanish w:val="0"/>
          <w:color w:val="auto"/>
          <w:sz w:val="24"/>
          <w:szCs w:val="24"/>
          <w:highlight w:val="none"/>
          <w:lang w:val="zh-CN" w:eastAsia="zh-CN"/>
        </w:rPr>
        <w:t>报备）</w:t>
      </w:r>
      <w:r>
        <w:rPr>
          <w:rFonts w:hint="eastAsia" w:ascii="宋体" w:hAnsi="宋体" w:eastAsia="宋体" w:cs="宋体"/>
          <w:vanish w:val="0"/>
          <w:color w:val="auto"/>
          <w:sz w:val="24"/>
          <w:szCs w:val="24"/>
          <w:highlight w:val="none"/>
          <w:lang w:val="en-US" w:eastAsia="zh-CN"/>
        </w:rPr>
        <w:t>有侧重的开展工作</w:t>
      </w:r>
      <w:r>
        <w:rPr>
          <w:rFonts w:hint="eastAsia" w:ascii="宋体" w:hAnsi="宋体" w:eastAsia="宋体" w:cs="宋体"/>
          <w:vanish w:val="0"/>
          <w:color w:val="auto"/>
          <w:sz w:val="24"/>
          <w:szCs w:val="24"/>
          <w:highlight w:val="none"/>
          <w:lang w:val="zh-CN" w:eastAsia="zh-CN"/>
        </w:rPr>
        <w:t>。</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zh-CN" w:eastAsia="zh-CN"/>
        </w:rPr>
      </w:pPr>
      <w:r>
        <w:rPr>
          <w:rFonts w:hint="eastAsia" w:ascii="Times New Roman" w:hAnsi="Times New Roman" w:eastAsia="宋体" w:cs="Times New Roman"/>
          <w:b/>
          <w:bCs/>
          <w:i w:val="0"/>
          <w:color w:val="auto"/>
          <w:kern w:val="2"/>
          <w:sz w:val="24"/>
          <w:szCs w:val="24"/>
          <w:highlight w:val="none"/>
          <w:lang w:val="en-US" w:eastAsia="zh-CN" w:bidi="ar-SA"/>
        </w:rPr>
        <w:t>11.1.</w:t>
      </w:r>
      <w:r>
        <w:rPr>
          <w:rFonts w:hint="eastAsia" w:ascii="Times New Roman" w:hAnsi="Times New Roman" w:cs="Times New Roman"/>
          <w:b/>
          <w:bCs/>
          <w:i w:val="0"/>
          <w:color w:val="auto"/>
          <w:kern w:val="2"/>
          <w:sz w:val="24"/>
          <w:szCs w:val="24"/>
          <w:highlight w:val="none"/>
          <w:lang w:val="en-US" w:eastAsia="zh-CN" w:bidi="ar-SA"/>
        </w:rPr>
        <w:t>18</w:t>
      </w:r>
      <w:r>
        <w:rPr>
          <w:rFonts w:hint="eastAsia" w:ascii="Times New Roman" w:hAnsi="Times New Roman" w:eastAsia="宋体" w:cs="Times New Roman"/>
          <w:b/>
          <w:bCs/>
          <w:i w:val="0"/>
          <w:color w:val="auto"/>
          <w:kern w:val="2"/>
          <w:sz w:val="24"/>
          <w:szCs w:val="24"/>
          <w:highlight w:val="none"/>
          <w:lang w:val="en-US" w:eastAsia="zh-CN" w:bidi="ar-SA"/>
        </w:rPr>
        <w:t xml:space="preserve"> </w:t>
      </w:r>
      <w:r>
        <w:rPr>
          <w:rFonts w:hint="eastAsia" w:ascii="宋体" w:hAnsi="宋体" w:eastAsia="宋体" w:cs="宋体"/>
          <w:vanish w:val="0"/>
          <w:color w:val="auto"/>
          <w:sz w:val="24"/>
          <w:szCs w:val="24"/>
          <w:highlight w:val="none"/>
          <w:lang w:val="en-US" w:eastAsia="zh-CN"/>
        </w:rPr>
        <w:t xml:space="preserve"> 重点目标防范</w:t>
      </w:r>
      <w:r>
        <w:rPr>
          <w:rFonts w:hint="eastAsia" w:ascii="宋体" w:hAnsi="宋体" w:cs="宋体"/>
          <w:vanish w:val="0"/>
          <w:color w:val="auto"/>
          <w:sz w:val="24"/>
          <w:szCs w:val="24"/>
          <w:highlight w:val="none"/>
          <w:lang w:val="en-US" w:eastAsia="zh-CN"/>
        </w:rPr>
        <w:t>应符合现行行业标准《</w:t>
      </w:r>
      <w:r>
        <w:rPr>
          <w:rFonts w:hint="eastAsia" w:ascii="宋体" w:hAnsi="宋体" w:eastAsia="宋体" w:cs="宋体"/>
          <w:vanish w:val="0"/>
          <w:color w:val="auto"/>
          <w:sz w:val="24"/>
          <w:szCs w:val="24"/>
          <w:highlight w:val="none"/>
          <w:lang w:val="en-US" w:eastAsia="zh-CN"/>
        </w:rPr>
        <w:t>电力系统治安反恐防范要求第1部分:电网企业</w:t>
      </w:r>
      <w:r>
        <w:rPr>
          <w:rFonts w:hint="eastAsia" w:ascii="宋体" w:hAnsi="宋体" w:cs="宋体"/>
          <w:vanish w:val="0"/>
          <w:color w:val="auto"/>
          <w:sz w:val="24"/>
          <w:szCs w:val="24"/>
          <w:highlight w:val="none"/>
          <w:lang w:val="en-US" w:eastAsia="zh-CN"/>
        </w:rPr>
        <w:t>》</w:t>
      </w:r>
      <w:r>
        <w:rPr>
          <w:rFonts w:hint="eastAsia" w:ascii="宋体" w:hAnsi="宋体" w:eastAsia="宋体" w:cs="宋体"/>
          <w:vanish w:val="0"/>
          <w:color w:val="auto"/>
          <w:sz w:val="24"/>
          <w:szCs w:val="24"/>
          <w:highlight w:val="none"/>
          <w:lang w:val="zh-CN" w:eastAsia="zh-CN"/>
        </w:rPr>
        <w:t>GA 1800.1</w:t>
      </w:r>
      <w:r>
        <w:rPr>
          <w:rFonts w:hint="eastAsia" w:ascii="宋体" w:hAnsi="宋体" w:cs="宋体"/>
          <w:vanish w:val="0"/>
          <w:color w:val="auto"/>
          <w:sz w:val="24"/>
          <w:szCs w:val="24"/>
          <w:highlight w:val="none"/>
          <w:lang w:val="en-US" w:eastAsia="zh-CN"/>
        </w:rPr>
        <w:t>的相关规定</w:t>
      </w:r>
      <w:r>
        <w:rPr>
          <w:rFonts w:hint="eastAsia" w:ascii="宋体" w:hAnsi="宋体" w:eastAsia="宋体" w:cs="宋体"/>
          <w:vanish w:val="0"/>
          <w:color w:val="auto"/>
          <w:sz w:val="24"/>
          <w:szCs w:val="24"/>
          <w:highlight w:val="none"/>
          <w:lang w:val="zh-CN" w:eastAsia="zh-CN"/>
        </w:rPr>
        <w:t>，</w:t>
      </w:r>
      <w:r>
        <w:rPr>
          <w:rFonts w:hint="eastAsia" w:ascii="宋体" w:hAnsi="宋体" w:eastAsia="宋体" w:cs="宋体"/>
          <w:vanish w:val="0"/>
          <w:color w:val="auto"/>
          <w:sz w:val="24"/>
          <w:szCs w:val="24"/>
          <w:highlight w:val="none"/>
          <w:lang w:val="en-US" w:eastAsia="zh-CN"/>
        </w:rPr>
        <w:t>针对重点防范目标</w:t>
      </w:r>
      <w:r>
        <w:rPr>
          <w:rFonts w:hint="eastAsia" w:ascii="宋体" w:hAnsi="宋体" w:eastAsia="宋体" w:cs="宋体"/>
          <w:vanish w:val="0"/>
          <w:color w:val="auto"/>
          <w:sz w:val="24"/>
          <w:szCs w:val="24"/>
          <w:highlight w:val="none"/>
          <w:lang w:val="zh-CN" w:eastAsia="zh-CN"/>
        </w:rPr>
        <w:t>：电力调度机构、变电站换流站、直接为重要用户供电的变电站，</w:t>
      </w:r>
      <w:r>
        <w:rPr>
          <w:rFonts w:hint="eastAsia" w:ascii="宋体" w:hAnsi="宋体" w:eastAsia="宋体" w:cs="宋体"/>
          <w:vanish w:val="0"/>
          <w:color w:val="auto"/>
          <w:sz w:val="24"/>
          <w:szCs w:val="24"/>
          <w:highlight w:val="none"/>
          <w:lang w:val="en-US" w:eastAsia="zh-CN"/>
        </w:rPr>
        <w:t>将</w:t>
      </w:r>
      <w:r>
        <w:rPr>
          <w:rFonts w:hint="eastAsia" w:ascii="宋体" w:hAnsi="宋体" w:eastAsia="宋体" w:cs="宋体"/>
          <w:vanish w:val="0"/>
          <w:color w:val="auto"/>
          <w:sz w:val="24"/>
          <w:szCs w:val="24"/>
          <w:highlight w:val="none"/>
          <w:lang w:val="zh-CN" w:eastAsia="zh-CN"/>
        </w:rPr>
        <w:t>治安反恐防范采取常态与非常态结合的方式进行防范。</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11.1.</w:t>
      </w:r>
      <w:r>
        <w:rPr>
          <w:rFonts w:hint="eastAsia" w:ascii="Times New Roman" w:hAnsi="Times New Roman" w:cs="Times New Roman"/>
          <w:b/>
          <w:bCs/>
          <w:i w:val="0"/>
          <w:color w:val="auto"/>
          <w:kern w:val="2"/>
          <w:sz w:val="24"/>
          <w:szCs w:val="24"/>
          <w:highlight w:val="none"/>
          <w:lang w:val="en-US" w:eastAsia="zh-CN" w:bidi="ar-SA"/>
        </w:rPr>
        <w:t>19</w:t>
      </w:r>
      <w:r>
        <w:rPr>
          <w:rFonts w:hint="eastAsia" w:ascii="Times New Roman" w:hAnsi="Times New Roman" w:eastAsia="宋体" w:cs="Times New Roman"/>
          <w:b/>
          <w:bCs/>
          <w:i w:val="0"/>
          <w:color w:val="auto"/>
          <w:kern w:val="2"/>
          <w:sz w:val="24"/>
          <w:szCs w:val="24"/>
          <w:highlight w:val="none"/>
          <w:lang w:val="en-US" w:eastAsia="zh-CN" w:bidi="ar-SA"/>
        </w:rPr>
        <w:t xml:space="preserve"> </w:t>
      </w:r>
      <w:r>
        <w:rPr>
          <w:rFonts w:hint="eastAsia" w:ascii="宋体" w:hAnsi="宋体" w:eastAsia="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zh-CN" w:eastAsia="zh-CN"/>
        </w:rPr>
        <w:t>常态反恐防范工作分为</w:t>
      </w:r>
      <w:r>
        <w:rPr>
          <w:rFonts w:hint="eastAsia" w:ascii="宋体" w:hAnsi="宋体" w:eastAsia="宋体" w:cs="宋体"/>
          <w:vanish w:val="0"/>
          <w:color w:val="auto"/>
          <w:sz w:val="24"/>
          <w:szCs w:val="24"/>
          <w:highlight w:val="none"/>
          <w:lang w:val="en-US" w:eastAsia="zh-CN"/>
        </w:rPr>
        <w:t>三</w:t>
      </w:r>
      <w:r>
        <w:rPr>
          <w:rFonts w:hint="eastAsia" w:ascii="宋体" w:hAnsi="宋体" w:eastAsia="宋体" w:cs="宋体"/>
          <w:vanish w:val="0"/>
          <w:color w:val="auto"/>
          <w:sz w:val="24"/>
          <w:szCs w:val="24"/>
          <w:highlight w:val="none"/>
          <w:lang w:val="zh-CN" w:eastAsia="zh-CN"/>
        </w:rPr>
        <w:t>级</w:t>
      </w:r>
      <w:r>
        <w:rPr>
          <w:rFonts w:hint="eastAsia" w:ascii="宋体" w:hAnsi="宋体" w:eastAsia="宋体" w:cs="宋体"/>
          <w:vanish w:val="0"/>
          <w:color w:val="auto"/>
          <w:sz w:val="24"/>
          <w:szCs w:val="24"/>
          <w:highlight w:val="none"/>
          <w:lang w:val="en-US" w:eastAsia="zh-CN"/>
        </w:rPr>
        <w:t>管理</w:t>
      </w:r>
      <w:r>
        <w:rPr>
          <w:rFonts w:hint="eastAsia" w:ascii="宋体" w:hAnsi="宋体" w:eastAsia="宋体" w:cs="宋体"/>
          <w:vanish w:val="0"/>
          <w:color w:val="auto"/>
          <w:sz w:val="24"/>
          <w:szCs w:val="24"/>
          <w:highlight w:val="none"/>
          <w:lang w:val="zh-CN" w:eastAsia="zh-CN"/>
        </w:rPr>
        <w:t>，</w:t>
      </w:r>
      <w:r>
        <w:rPr>
          <w:rFonts w:hint="eastAsia" w:ascii="宋体" w:hAnsi="宋体" w:eastAsia="宋体" w:cs="宋体"/>
          <w:vanish w:val="0"/>
          <w:color w:val="auto"/>
          <w:sz w:val="24"/>
          <w:szCs w:val="24"/>
          <w:highlight w:val="none"/>
          <w:lang w:val="en-US" w:eastAsia="zh-CN"/>
        </w:rPr>
        <w:t>将</w:t>
      </w:r>
      <w:r>
        <w:rPr>
          <w:rFonts w:hint="eastAsia" w:ascii="宋体" w:hAnsi="宋体" w:eastAsia="宋体" w:cs="宋体"/>
          <w:vanish w:val="0"/>
          <w:color w:val="auto"/>
          <w:sz w:val="24"/>
          <w:szCs w:val="24"/>
          <w:highlight w:val="none"/>
          <w:lang w:val="zh-CN" w:eastAsia="zh-CN"/>
        </w:rPr>
        <w:t>重点目标的防范级别与</w:t>
      </w:r>
      <w:r>
        <w:rPr>
          <w:rFonts w:hint="eastAsia" w:ascii="宋体" w:hAnsi="宋体" w:eastAsia="宋体" w:cs="宋体"/>
          <w:vanish w:val="0"/>
          <w:color w:val="auto"/>
          <w:sz w:val="24"/>
          <w:szCs w:val="24"/>
          <w:highlight w:val="none"/>
          <w:lang w:val="en-US" w:eastAsia="zh-CN"/>
        </w:rPr>
        <w:t>重点</w:t>
      </w:r>
      <w:r>
        <w:rPr>
          <w:rFonts w:hint="eastAsia" w:ascii="宋体" w:hAnsi="宋体" w:eastAsia="宋体" w:cs="宋体"/>
          <w:vanish w:val="0"/>
          <w:color w:val="auto"/>
          <w:sz w:val="24"/>
          <w:szCs w:val="24"/>
          <w:highlight w:val="none"/>
          <w:lang w:val="zh-CN" w:eastAsia="zh-CN"/>
        </w:rPr>
        <w:t>目标等级相对应，</w:t>
      </w:r>
      <w:r>
        <w:rPr>
          <w:rFonts w:hint="eastAsia" w:ascii="宋体" w:hAnsi="宋体" w:eastAsia="宋体" w:cs="宋体"/>
          <w:vanish w:val="0"/>
          <w:color w:val="auto"/>
          <w:sz w:val="24"/>
          <w:szCs w:val="24"/>
          <w:highlight w:val="none"/>
          <w:lang w:val="en-US" w:eastAsia="zh-CN"/>
        </w:rPr>
        <w:t>三级防范分级管理</w:t>
      </w:r>
      <w:r>
        <w:rPr>
          <w:rFonts w:hint="eastAsia" w:ascii="宋体" w:hAnsi="宋体" w:eastAsia="宋体" w:cs="宋体"/>
          <w:vanish w:val="0"/>
          <w:color w:val="auto"/>
          <w:sz w:val="24"/>
          <w:szCs w:val="24"/>
          <w:highlight w:val="none"/>
          <w:lang w:val="zh-CN" w:eastAsia="zh-CN"/>
        </w:rPr>
        <w:t>由低到高分为常态三级、二级、一级防范，</w:t>
      </w:r>
      <w:r>
        <w:rPr>
          <w:rFonts w:hint="eastAsia" w:ascii="宋体" w:hAnsi="宋体" w:eastAsia="宋体" w:cs="宋体"/>
          <w:vanish w:val="0"/>
          <w:color w:val="auto"/>
          <w:sz w:val="24"/>
          <w:szCs w:val="24"/>
          <w:highlight w:val="none"/>
          <w:lang w:val="en-US" w:eastAsia="zh-CN"/>
        </w:rPr>
        <w:t>防范主要措施包括但不限于:</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zh-CN" w:eastAsia="zh-CN"/>
        </w:rPr>
      </w:pPr>
      <w:bookmarkStart w:id="314" w:name="_Toc30653"/>
      <w:bookmarkStart w:id="315" w:name="_Toc5168"/>
      <w:bookmarkStart w:id="316" w:name="_Toc15677"/>
      <w:r>
        <w:rPr>
          <w:rFonts w:hint="eastAsia" w:ascii="宋体" w:hAnsi="宋体" w:eastAsia="宋体" w:cs="宋体"/>
          <w:vanish w:val="0"/>
          <w:color w:val="auto"/>
          <w:sz w:val="24"/>
          <w:szCs w:val="24"/>
          <w:highlight w:val="none"/>
          <w:lang w:val="en-US" w:eastAsia="zh-CN"/>
        </w:rPr>
        <w:t>1  常态三级防范</w:t>
      </w:r>
      <w:r>
        <w:rPr>
          <w:rFonts w:hint="eastAsia" w:ascii="宋体" w:hAnsi="宋体" w:eastAsia="宋体" w:cs="宋体"/>
          <w:vanish w:val="0"/>
          <w:color w:val="auto"/>
          <w:sz w:val="24"/>
          <w:szCs w:val="24"/>
          <w:highlight w:val="none"/>
          <w:lang w:val="zh-CN" w:eastAsia="zh-CN"/>
        </w:rPr>
        <w:t>工作要求</w:t>
      </w:r>
      <w:r>
        <w:rPr>
          <w:rFonts w:hint="eastAsia" w:ascii="宋体" w:hAnsi="宋体" w:eastAsia="宋体" w:cs="宋体"/>
          <w:vanish w:val="0"/>
          <w:color w:val="auto"/>
          <w:sz w:val="24"/>
          <w:szCs w:val="24"/>
          <w:highlight w:val="none"/>
          <w:lang w:val="en-US" w:eastAsia="zh-CN"/>
        </w:rPr>
        <w:t>：岗位人员按三级防范标准配置到岗，主要岗位手持岗位配置的防恐装备，全面启用物防和</w:t>
      </w:r>
      <w:r>
        <w:rPr>
          <w:rFonts w:hint="eastAsia" w:ascii="宋体" w:hAnsi="宋体" w:eastAsia="宋体" w:cs="宋体"/>
          <w:vanish w:val="0"/>
          <w:color w:val="auto"/>
          <w:sz w:val="24"/>
          <w:szCs w:val="24"/>
          <w:highlight w:val="none"/>
          <w:lang w:val="zh-CN" w:eastAsia="zh-CN"/>
        </w:rPr>
        <w:t>周界设置视频监控系统、入侵和</w:t>
      </w:r>
      <w:r>
        <w:rPr>
          <w:rFonts w:hint="eastAsia" w:ascii="宋体" w:hAnsi="宋体" w:eastAsia="宋体" w:cs="宋体"/>
          <w:vanish w:val="0"/>
          <w:color w:val="auto"/>
          <w:sz w:val="24"/>
          <w:szCs w:val="24"/>
          <w:highlight w:val="none"/>
          <w:lang w:val="en-US" w:eastAsia="zh-CN"/>
        </w:rPr>
        <w:t>紧</w:t>
      </w:r>
      <w:r>
        <w:rPr>
          <w:rFonts w:hint="eastAsia" w:ascii="宋体" w:hAnsi="宋体" w:eastAsia="宋体" w:cs="宋体"/>
          <w:vanish w:val="0"/>
          <w:color w:val="auto"/>
          <w:sz w:val="24"/>
          <w:szCs w:val="24"/>
          <w:highlight w:val="none"/>
          <w:lang w:val="zh-CN" w:eastAsia="zh-CN"/>
        </w:rPr>
        <w:t>急报警</w:t>
      </w:r>
      <w:r>
        <w:rPr>
          <w:rFonts w:hint="eastAsia" w:ascii="宋体" w:hAnsi="宋体" w:eastAsia="宋体" w:cs="宋体"/>
          <w:vanish w:val="0"/>
          <w:color w:val="auto"/>
          <w:sz w:val="24"/>
          <w:szCs w:val="24"/>
          <w:highlight w:val="none"/>
          <w:lang w:val="en-US" w:eastAsia="zh-CN"/>
        </w:rPr>
        <w:t>等三级防范</w:t>
      </w:r>
      <w:r>
        <w:rPr>
          <w:rFonts w:hint="eastAsia" w:ascii="宋体" w:hAnsi="宋体" w:eastAsia="宋体" w:cs="宋体"/>
          <w:vanish w:val="0"/>
          <w:color w:val="auto"/>
          <w:sz w:val="24"/>
          <w:szCs w:val="24"/>
          <w:highlight w:val="none"/>
          <w:lang w:val="zh-CN" w:eastAsia="zh-CN"/>
        </w:rPr>
        <w:t>系统</w:t>
      </w:r>
      <w:r>
        <w:rPr>
          <w:rFonts w:hint="eastAsia" w:ascii="宋体" w:hAnsi="宋体" w:eastAsia="宋体" w:cs="宋体"/>
          <w:vanish w:val="0"/>
          <w:color w:val="auto"/>
          <w:sz w:val="24"/>
          <w:szCs w:val="24"/>
          <w:highlight w:val="none"/>
          <w:lang w:val="en-US" w:eastAsia="zh-CN"/>
        </w:rPr>
        <w:t>并要求对</w:t>
      </w:r>
      <w:r>
        <w:rPr>
          <w:rFonts w:hint="eastAsia" w:ascii="宋体" w:hAnsi="宋体" w:eastAsia="宋体" w:cs="宋体"/>
          <w:vanish w:val="0"/>
          <w:color w:val="auto"/>
          <w:sz w:val="24"/>
          <w:szCs w:val="24"/>
          <w:highlight w:val="none"/>
          <w:lang w:val="zh-CN" w:eastAsia="zh-CN"/>
        </w:rPr>
        <w:t>重点部位</w:t>
      </w:r>
      <w:r>
        <w:rPr>
          <w:rFonts w:hint="eastAsia" w:ascii="宋体" w:hAnsi="宋体" w:eastAsia="宋体" w:cs="宋体"/>
          <w:vanish w:val="0"/>
          <w:color w:val="auto"/>
          <w:sz w:val="24"/>
          <w:szCs w:val="24"/>
          <w:highlight w:val="none"/>
          <w:lang w:val="en-US" w:eastAsia="zh-CN"/>
        </w:rPr>
        <w:t>加强</w:t>
      </w:r>
      <w:r>
        <w:rPr>
          <w:rFonts w:hint="eastAsia" w:ascii="宋体" w:hAnsi="宋体" w:eastAsia="宋体" w:cs="宋体"/>
          <w:vanish w:val="0"/>
          <w:color w:val="auto"/>
          <w:sz w:val="24"/>
          <w:szCs w:val="24"/>
          <w:highlight w:val="none"/>
          <w:lang w:val="zh-CN" w:eastAsia="zh-CN"/>
        </w:rPr>
        <w:t>日常巡逻，</w:t>
      </w:r>
      <w:r>
        <w:rPr>
          <w:rFonts w:hint="eastAsia" w:ascii="宋体" w:hAnsi="宋体" w:eastAsia="宋体" w:cs="宋体"/>
          <w:vanish w:val="0"/>
          <w:color w:val="auto"/>
          <w:sz w:val="24"/>
          <w:szCs w:val="24"/>
          <w:highlight w:val="none"/>
          <w:lang w:val="en-US" w:eastAsia="zh-CN"/>
        </w:rPr>
        <w:t>巡查要求见表11.1.</w:t>
      </w:r>
      <w:r>
        <w:rPr>
          <w:rFonts w:hint="eastAsia" w:ascii="宋体" w:hAnsi="宋体" w:cs="宋体"/>
          <w:vanish w:val="0"/>
          <w:color w:val="auto"/>
          <w:sz w:val="24"/>
          <w:szCs w:val="24"/>
          <w:highlight w:val="none"/>
          <w:lang w:val="en-US" w:eastAsia="zh-CN"/>
        </w:rPr>
        <w:t>19</w:t>
      </w:r>
      <w:r>
        <w:rPr>
          <w:rFonts w:hint="eastAsia" w:ascii="宋体" w:hAnsi="宋体" w:eastAsia="宋体" w:cs="宋体"/>
          <w:vanish w:val="0"/>
          <w:color w:val="auto"/>
          <w:sz w:val="24"/>
          <w:szCs w:val="24"/>
          <w:highlight w:val="none"/>
          <w:lang w:val="en-US" w:eastAsia="zh-CN"/>
        </w:rPr>
        <w:t>中的常态三级标准</w:t>
      </w:r>
      <w:bookmarkEnd w:id="314"/>
      <w:bookmarkEnd w:id="315"/>
      <w:bookmarkEnd w:id="316"/>
      <w:r>
        <w:rPr>
          <w:rFonts w:hint="eastAsia" w:ascii="宋体" w:hAnsi="宋体" w:cs="宋体"/>
          <w:vanish w:val="0"/>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zh-CN" w:eastAsia="zh-CN"/>
        </w:rPr>
      </w:pPr>
      <w:bookmarkStart w:id="317" w:name="_Toc20394"/>
      <w:bookmarkStart w:id="318" w:name="_Toc12389"/>
      <w:bookmarkStart w:id="319" w:name="_Toc14699"/>
      <w:r>
        <w:rPr>
          <w:rFonts w:hint="eastAsia" w:ascii="宋体" w:hAnsi="宋体" w:eastAsia="宋体" w:cs="宋体"/>
          <w:vanish w:val="0"/>
          <w:color w:val="auto"/>
          <w:sz w:val="24"/>
          <w:szCs w:val="24"/>
          <w:highlight w:val="none"/>
          <w:lang w:val="en-US" w:eastAsia="zh-CN"/>
        </w:rPr>
        <w:t>2  常态二级防范</w:t>
      </w:r>
      <w:r>
        <w:rPr>
          <w:rFonts w:hint="eastAsia" w:ascii="宋体" w:hAnsi="宋体" w:eastAsia="宋体" w:cs="宋体"/>
          <w:vanish w:val="0"/>
          <w:color w:val="auto"/>
          <w:sz w:val="24"/>
          <w:szCs w:val="24"/>
          <w:highlight w:val="none"/>
          <w:lang w:val="zh-CN" w:eastAsia="zh-CN"/>
        </w:rPr>
        <w:t>工作要求</w:t>
      </w:r>
      <w:r>
        <w:rPr>
          <w:rFonts w:hint="eastAsia" w:ascii="宋体" w:hAnsi="宋体" w:eastAsia="宋体" w:cs="宋体"/>
          <w:vanish w:val="0"/>
          <w:color w:val="auto"/>
          <w:sz w:val="24"/>
          <w:szCs w:val="24"/>
          <w:highlight w:val="none"/>
          <w:lang w:val="en-US" w:eastAsia="zh-CN"/>
        </w:rPr>
        <w:t>：岗位人员按二级防范标准配置到岗，主要岗位手持岗位配置的防恐装备，全面启用物防和三级电子防范设备的基础上，全面启用</w:t>
      </w:r>
      <w:r>
        <w:rPr>
          <w:rFonts w:hint="eastAsia" w:ascii="宋体" w:hAnsi="宋体" w:eastAsia="宋体" w:cs="宋体"/>
          <w:vanish w:val="0"/>
          <w:color w:val="auto"/>
          <w:sz w:val="24"/>
          <w:szCs w:val="24"/>
          <w:highlight w:val="none"/>
          <w:lang w:val="zh-CN" w:eastAsia="zh-CN"/>
        </w:rPr>
        <w:t>人员、车所出入口控制系统、应设置</w:t>
      </w:r>
      <w:r>
        <w:rPr>
          <w:rFonts w:hint="eastAsia" w:ascii="宋体" w:hAnsi="宋体" w:eastAsia="宋体" w:cs="宋体"/>
          <w:vanish w:val="0"/>
          <w:color w:val="auto"/>
          <w:sz w:val="24"/>
          <w:szCs w:val="24"/>
          <w:highlight w:val="none"/>
          <w:lang w:val="en-US" w:eastAsia="zh-CN"/>
        </w:rPr>
        <w:t>强闯</w:t>
      </w:r>
      <w:r>
        <w:rPr>
          <w:rFonts w:hint="eastAsia" w:ascii="宋体" w:hAnsi="宋体" w:eastAsia="宋体" w:cs="宋体"/>
          <w:vanish w:val="0"/>
          <w:color w:val="auto"/>
          <w:sz w:val="24"/>
          <w:szCs w:val="24"/>
          <w:highlight w:val="none"/>
          <w:lang w:val="zh-CN" w:eastAsia="zh-CN"/>
        </w:rPr>
        <w:t>报警/灯光/视频监控系统</w:t>
      </w:r>
      <w:r>
        <w:rPr>
          <w:rFonts w:hint="eastAsia" w:ascii="宋体" w:hAnsi="宋体" w:eastAsia="宋体" w:cs="宋体"/>
          <w:vanish w:val="0"/>
          <w:color w:val="auto"/>
          <w:sz w:val="24"/>
          <w:szCs w:val="24"/>
          <w:highlight w:val="none"/>
          <w:lang w:val="en-US" w:eastAsia="zh-CN"/>
        </w:rPr>
        <w:t>联</w:t>
      </w:r>
      <w:r>
        <w:rPr>
          <w:rFonts w:hint="eastAsia" w:ascii="宋体" w:hAnsi="宋体" w:eastAsia="宋体" w:cs="宋体"/>
          <w:vanish w:val="0"/>
          <w:color w:val="auto"/>
          <w:sz w:val="24"/>
          <w:szCs w:val="24"/>
          <w:highlight w:val="none"/>
          <w:lang w:val="zh-CN" w:eastAsia="zh-CN"/>
        </w:rPr>
        <w:t>动响应</w:t>
      </w:r>
      <w:r>
        <w:rPr>
          <w:rFonts w:hint="eastAsia" w:ascii="宋体" w:hAnsi="宋体" w:eastAsia="宋体" w:cs="宋体"/>
          <w:vanish w:val="0"/>
          <w:color w:val="auto"/>
          <w:sz w:val="24"/>
          <w:szCs w:val="24"/>
          <w:highlight w:val="none"/>
          <w:lang w:val="en-US" w:eastAsia="zh-CN"/>
        </w:rPr>
        <w:t>等二级电子防范系统</w:t>
      </w:r>
      <w:r>
        <w:rPr>
          <w:rFonts w:hint="eastAsia" w:ascii="宋体" w:hAnsi="宋体" w:eastAsia="宋体" w:cs="宋体"/>
          <w:vanish w:val="0"/>
          <w:color w:val="auto"/>
          <w:sz w:val="24"/>
          <w:szCs w:val="24"/>
          <w:highlight w:val="none"/>
          <w:lang w:val="zh-CN" w:eastAsia="zh-CN"/>
        </w:rPr>
        <w:t>，</w:t>
      </w:r>
      <w:r>
        <w:rPr>
          <w:rFonts w:hint="eastAsia" w:ascii="宋体" w:hAnsi="宋体" w:eastAsia="宋体" w:cs="宋体"/>
          <w:vanish w:val="0"/>
          <w:color w:val="auto"/>
          <w:sz w:val="24"/>
          <w:szCs w:val="24"/>
          <w:highlight w:val="none"/>
          <w:lang w:val="en-US" w:eastAsia="zh-CN"/>
        </w:rPr>
        <w:t>要求对</w:t>
      </w:r>
      <w:r>
        <w:rPr>
          <w:rFonts w:hint="eastAsia" w:ascii="宋体" w:hAnsi="宋体" w:eastAsia="宋体" w:cs="宋体"/>
          <w:vanish w:val="0"/>
          <w:color w:val="auto"/>
          <w:sz w:val="24"/>
          <w:szCs w:val="24"/>
          <w:highlight w:val="none"/>
          <w:lang w:val="zh-CN" w:eastAsia="zh-CN"/>
        </w:rPr>
        <w:t>重点部位</w:t>
      </w:r>
      <w:r>
        <w:rPr>
          <w:rFonts w:hint="eastAsia" w:ascii="宋体" w:hAnsi="宋体" w:eastAsia="宋体" w:cs="宋体"/>
          <w:vanish w:val="0"/>
          <w:color w:val="auto"/>
          <w:sz w:val="24"/>
          <w:szCs w:val="24"/>
          <w:highlight w:val="none"/>
          <w:lang w:val="en-US" w:eastAsia="zh-CN"/>
        </w:rPr>
        <w:t>加强</w:t>
      </w:r>
      <w:r>
        <w:rPr>
          <w:rFonts w:hint="eastAsia" w:ascii="宋体" w:hAnsi="宋体" w:eastAsia="宋体" w:cs="宋体"/>
          <w:vanish w:val="0"/>
          <w:color w:val="auto"/>
          <w:sz w:val="24"/>
          <w:szCs w:val="24"/>
          <w:highlight w:val="none"/>
          <w:lang w:val="zh-CN" w:eastAsia="zh-CN"/>
        </w:rPr>
        <w:t>日常巡逻，</w:t>
      </w:r>
      <w:r>
        <w:rPr>
          <w:rFonts w:hint="eastAsia" w:ascii="宋体" w:hAnsi="宋体" w:eastAsia="宋体" w:cs="宋体"/>
          <w:vanish w:val="0"/>
          <w:color w:val="auto"/>
          <w:sz w:val="24"/>
          <w:szCs w:val="24"/>
          <w:highlight w:val="none"/>
          <w:lang w:val="en-US" w:eastAsia="zh-CN"/>
        </w:rPr>
        <w:t>巡查要求见表11.1.</w:t>
      </w:r>
      <w:r>
        <w:rPr>
          <w:rFonts w:hint="eastAsia" w:ascii="宋体" w:hAnsi="宋体" w:cs="宋体"/>
          <w:vanish w:val="0"/>
          <w:color w:val="auto"/>
          <w:sz w:val="24"/>
          <w:szCs w:val="24"/>
          <w:highlight w:val="none"/>
          <w:lang w:val="en-US" w:eastAsia="zh-CN"/>
        </w:rPr>
        <w:t>19</w:t>
      </w:r>
      <w:r>
        <w:rPr>
          <w:rFonts w:hint="eastAsia" w:ascii="宋体" w:hAnsi="宋体" w:eastAsia="宋体" w:cs="宋体"/>
          <w:vanish w:val="0"/>
          <w:color w:val="auto"/>
          <w:sz w:val="24"/>
          <w:szCs w:val="24"/>
          <w:highlight w:val="none"/>
          <w:lang w:val="en-US" w:eastAsia="zh-CN"/>
        </w:rPr>
        <w:t>中的常态二级标准</w:t>
      </w:r>
      <w:bookmarkEnd w:id="317"/>
      <w:bookmarkEnd w:id="318"/>
      <w:bookmarkEnd w:id="319"/>
      <w:r>
        <w:rPr>
          <w:rFonts w:hint="eastAsia" w:ascii="宋体" w:hAnsi="宋体" w:cs="宋体"/>
          <w:vanish w:val="0"/>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zh-CN" w:eastAsia="zh-CN"/>
        </w:rPr>
      </w:pPr>
      <w:bookmarkStart w:id="320" w:name="_Toc17660"/>
      <w:bookmarkStart w:id="321" w:name="_Toc1639"/>
      <w:bookmarkStart w:id="322" w:name="_Toc6028"/>
      <w:r>
        <w:rPr>
          <w:rFonts w:hint="eastAsia" w:ascii="宋体" w:hAnsi="宋体" w:eastAsia="宋体" w:cs="宋体"/>
          <w:vanish w:val="0"/>
          <w:color w:val="auto"/>
          <w:sz w:val="24"/>
          <w:szCs w:val="24"/>
          <w:highlight w:val="none"/>
          <w:lang w:val="en-US" w:eastAsia="zh-CN"/>
        </w:rPr>
        <w:t>3  常态一</w:t>
      </w:r>
      <w:r>
        <w:rPr>
          <w:rFonts w:hint="eastAsia" w:ascii="宋体" w:hAnsi="宋体" w:eastAsia="宋体" w:cs="宋体"/>
          <w:vanish w:val="0"/>
          <w:color w:val="auto"/>
          <w:sz w:val="24"/>
          <w:szCs w:val="24"/>
          <w:highlight w:val="none"/>
          <w:lang w:val="zh-CN" w:eastAsia="zh-CN"/>
        </w:rPr>
        <w:t>级</w:t>
      </w:r>
      <w:r>
        <w:rPr>
          <w:rFonts w:hint="eastAsia" w:ascii="宋体" w:hAnsi="宋体" w:eastAsia="宋体" w:cs="宋体"/>
          <w:vanish w:val="0"/>
          <w:color w:val="auto"/>
          <w:sz w:val="24"/>
          <w:szCs w:val="24"/>
          <w:highlight w:val="none"/>
          <w:lang w:val="en-US" w:eastAsia="zh-CN"/>
        </w:rPr>
        <w:t>防范</w:t>
      </w:r>
      <w:r>
        <w:rPr>
          <w:rFonts w:hint="eastAsia" w:ascii="宋体" w:hAnsi="宋体" w:eastAsia="宋体" w:cs="宋体"/>
          <w:vanish w:val="0"/>
          <w:color w:val="auto"/>
          <w:sz w:val="24"/>
          <w:szCs w:val="24"/>
          <w:highlight w:val="none"/>
          <w:lang w:val="zh-CN" w:eastAsia="zh-CN"/>
        </w:rPr>
        <w:t>工作要求：</w:t>
      </w:r>
      <w:r>
        <w:rPr>
          <w:rFonts w:hint="eastAsia" w:ascii="宋体" w:hAnsi="宋体" w:eastAsia="宋体" w:cs="宋体"/>
          <w:vanish w:val="0"/>
          <w:color w:val="auto"/>
          <w:sz w:val="24"/>
          <w:szCs w:val="24"/>
          <w:highlight w:val="none"/>
          <w:lang w:val="en-US" w:eastAsia="zh-CN"/>
        </w:rPr>
        <w:t>岗位人员按一级防范标准配置到岗，主要岗位手持岗位配置的防恐装备，全面启用物防和二级电子防范设备的基础上，配合电力企业反无人机防御系统的启用，要求对</w:t>
      </w:r>
      <w:r>
        <w:rPr>
          <w:rFonts w:hint="eastAsia" w:ascii="宋体" w:hAnsi="宋体" w:eastAsia="宋体" w:cs="宋体"/>
          <w:vanish w:val="0"/>
          <w:color w:val="auto"/>
          <w:sz w:val="24"/>
          <w:szCs w:val="24"/>
          <w:highlight w:val="none"/>
          <w:lang w:val="zh-CN" w:eastAsia="zh-CN"/>
        </w:rPr>
        <w:t>重点部位</w:t>
      </w:r>
      <w:r>
        <w:rPr>
          <w:rFonts w:hint="eastAsia" w:ascii="宋体" w:hAnsi="宋体" w:eastAsia="宋体" w:cs="宋体"/>
          <w:vanish w:val="0"/>
          <w:color w:val="auto"/>
          <w:sz w:val="24"/>
          <w:szCs w:val="24"/>
          <w:highlight w:val="none"/>
          <w:lang w:val="en-US" w:eastAsia="zh-CN"/>
        </w:rPr>
        <w:t>加强</w:t>
      </w:r>
      <w:r>
        <w:rPr>
          <w:rFonts w:hint="eastAsia" w:ascii="宋体" w:hAnsi="宋体" w:eastAsia="宋体" w:cs="宋体"/>
          <w:vanish w:val="0"/>
          <w:color w:val="auto"/>
          <w:sz w:val="24"/>
          <w:szCs w:val="24"/>
          <w:highlight w:val="none"/>
          <w:lang w:val="zh-CN" w:eastAsia="zh-CN"/>
        </w:rPr>
        <w:t>日常巡逻，</w:t>
      </w:r>
      <w:r>
        <w:rPr>
          <w:rFonts w:hint="eastAsia" w:ascii="宋体" w:hAnsi="宋体" w:eastAsia="宋体" w:cs="宋体"/>
          <w:vanish w:val="0"/>
          <w:color w:val="auto"/>
          <w:sz w:val="24"/>
          <w:szCs w:val="24"/>
          <w:highlight w:val="none"/>
          <w:lang w:val="en-US" w:eastAsia="zh-CN"/>
        </w:rPr>
        <w:t>巡查要求见表11.1.</w:t>
      </w:r>
      <w:r>
        <w:rPr>
          <w:rFonts w:hint="eastAsia" w:ascii="宋体" w:hAnsi="宋体" w:cs="宋体"/>
          <w:vanish w:val="0"/>
          <w:color w:val="auto"/>
          <w:sz w:val="24"/>
          <w:szCs w:val="24"/>
          <w:highlight w:val="none"/>
          <w:lang w:val="en-US" w:eastAsia="zh-CN"/>
        </w:rPr>
        <w:t>19</w:t>
      </w:r>
      <w:r>
        <w:rPr>
          <w:rFonts w:hint="eastAsia" w:ascii="宋体" w:hAnsi="宋体" w:eastAsia="宋体" w:cs="宋体"/>
          <w:vanish w:val="0"/>
          <w:color w:val="auto"/>
          <w:sz w:val="24"/>
          <w:szCs w:val="24"/>
          <w:highlight w:val="none"/>
          <w:lang w:val="en-US" w:eastAsia="zh-CN"/>
        </w:rPr>
        <w:t>中的常态一级标准。</w:t>
      </w:r>
      <w:bookmarkEnd w:id="320"/>
      <w:bookmarkEnd w:id="321"/>
      <w:bookmarkEnd w:id="322"/>
    </w:p>
    <w:p>
      <w:pPr>
        <w:pStyle w:val="6"/>
        <w:tabs>
          <w:tab w:val="left" w:pos="420"/>
        </w:tabs>
        <w:spacing w:before="312" w:beforeLines="100" w:after="0" w:line="240" w:lineRule="auto"/>
        <w:jc w:val="center"/>
        <w:outlineLvl w:val="1"/>
        <w:rPr>
          <w:rFonts w:hint="eastAsia" w:ascii="Times New Roman" w:hAnsi="Times New Roman" w:eastAsia="黑体" w:cs="Times New Roman"/>
          <w:bCs w:val="0"/>
          <w:sz w:val="21"/>
          <w:szCs w:val="24"/>
          <w:highlight w:val="none"/>
          <w:lang w:val="en-US" w:eastAsia="zh-CN"/>
        </w:rPr>
      </w:pPr>
      <w:bookmarkStart w:id="323" w:name="_Toc26476"/>
      <w:r>
        <w:rPr>
          <w:rFonts w:hint="eastAsia" w:ascii="Times New Roman" w:hAnsi="Times New Roman" w:eastAsia="黑体" w:cs="Times New Roman"/>
          <w:bCs w:val="0"/>
          <w:sz w:val="21"/>
          <w:szCs w:val="24"/>
          <w:highlight w:val="none"/>
          <w:lang w:val="en-US" w:eastAsia="zh-CN"/>
        </w:rPr>
        <w:t>表11.1.</w:t>
      </w:r>
      <w:r>
        <w:rPr>
          <w:rFonts w:hint="eastAsia" w:eastAsia="黑体" w:cs="Times New Roman"/>
          <w:bCs w:val="0"/>
          <w:sz w:val="21"/>
          <w:szCs w:val="24"/>
          <w:highlight w:val="none"/>
          <w:lang w:val="en-US" w:eastAsia="zh-CN"/>
        </w:rPr>
        <w:t>19</w:t>
      </w:r>
      <w:r>
        <w:rPr>
          <w:rFonts w:hint="eastAsia" w:ascii="Times New Roman" w:hAnsi="Times New Roman" w:eastAsia="黑体" w:cs="Times New Roman"/>
          <w:bCs w:val="0"/>
          <w:sz w:val="21"/>
          <w:szCs w:val="24"/>
          <w:highlight w:val="none"/>
          <w:lang w:val="en-US" w:eastAsia="zh-CN"/>
        </w:rPr>
        <w:t xml:space="preserve">  常态三级防恐</w:t>
      </w:r>
      <w:r>
        <w:rPr>
          <w:rFonts w:hint="eastAsia" w:ascii="Times New Roman" w:hAnsi="Times New Roman" w:eastAsia="黑体" w:cs="Times New Roman"/>
          <w:bCs w:val="0"/>
          <w:sz w:val="21"/>
          <w:szCs w:val="24"/>
          <w:highlight w:val="none"/>
          <w:lang w:val="zh-CN" w:eastAsia="zh-CN"/>
        </w:rPr>
        <w:t>重点部位</w:t>
      </w:r>
      <w:r>
        <w:rPr>
          <w:rFonts w:hint="eastAsia" w:ascii="Times New Roman" w:hAnsi="Times New Roman" w:eastAsia="黑体" w:cs="Times New Roman"/>
          <w:bCs w:val="0"/>
          <w:sz w:val="21"/>
          <w:szCs w:val="24"/>
          <w:highlight w:val="none"/>
          <w:lang w:val="en-US" w:eastAsia="zh-CN"/>
        </w:rPr>
        <w:t>巡查标准</w:t>
      </w:r>
      <w:bookmarkEnd w:id="323"/>
    </w:p>
    <w:tbl>
      <w:tblPr>
        <w:tblStyle w:val="38"/>
        <w:tblW w:w="77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18"/>
        <w:gridCol w:w="1632"/>
        <w:gridCol w:w="1700"/>
        <w:gridCol w:w="17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618" w:type="dxa"/>
            <w:tcBorders>
              <w:bottom w:val="single" w:color="000000" w:sz="12" w:space="0"/>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18"/>
                <w:szCs w:val="18"/>
                <w:highlight w:val="none"/>
                <w:u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重点部位</w:t>
            </w:r>
          </w:p>
        </w:tc>
        <w:tc>
          <w:tcPr>
            <w:tcW w:w="1632" w:type="dxa"/>
            <w:tcBorders>
              <w:bottom w:val="single" w:color="000000" w:sz="12" w:space="0"/>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18"/>
                <w:szCs w:val="18"/>
                <w:highlight w:val="none"/>
                <w:u w:val="none"/>
                <w:lang w:val="en-US" w:eastAsia="zh-CN"/>
              </w:rPr>
            </w:pPr>
            <w:r>
              <w:rPr>
                <w:rFonts w:hint="eastAsia" w:ascii="宋体" w:hAnsi="宋体" w:eastAsia="宋体" w:cs="宋体"/>
                <w:b w:val="0"/>
                <w:bCs w:val="0"/>
                <w:i w:val="0"/>
                <w:iCs w:val="0"/>
                <w:color w:val="auto"/>
                <w:sz w:val="18"/>
                <w:szCs w:val="18"/>
                <w:highlight w:val="none"/>
                <w:u w:val="none"/>
                <w:lang w:val="en-US" w:eastAsia="zh-CN"/>
              </w:rPr>
              <w:t>常态一级</w:t>
            </w:r>
          </w:p>
        </w:tc>
        <w:tc>
          <w:tcPr>
            <w:tcW w:w="1700" w:type="dxa"/>
            <w:tcBorders>
              <w:bottom w:val="single" w:color="000000" w:sz="12"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sz w:val="18"/>
                <w:szCs w:val="18"/>
                <w:highlight w:val="none"/>
                <w:u w:val="none"/>
                <w:lang w:val="en-US" w:eastAsia="zh-CN"/>
              </w:rPr>
              <w:t>常态二级</w:t>
            </w:r>
          </w:p>
        </w:tc>
        <w:tc>
          <w:tcPr>
            <w:tcW w:w="1767" w:type="dxa"/>
            <w:tcBorders>
              <w:bottom w:val="single" w:color="000000" w:sz="12" w:space="0"/>
            </w:tcBorders>
            <w:noWrap/>
            <w:vAlign w:val="center"/>
          </w:tcPr>
          <w:p>
            <w:pPr>
              <w:keepNext w:val="0"/>
              <w:keepLines w:val="0"/>
              <w:widowControl/>
              <w:suppressLineNumbers w:val="0"/>
              <w:jc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sz w:val="18"/>
                <w:szCs w:val="18"/>
                <w:highlight w:val="none"/>
                <w:u w:val="none"/>
                <w:lang w:val="en-US" w:eastAsia="zh-CN"/>
              </w:rPr>
              <w:t>常态三级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618" w:type="dxa"/>
            <w:tcBorders>
              <w:top w:val="single" w:color="000000" w:sz="12" w:space="0"/>
              <w:tl2br w:val="nil"/>
              <w:tr2bl w:val="nil"/>
            </w:tcBorders>
            <w:noWrap/>
            <w:vAlign w:val="center"/>
          </w:tcPr>
          <w:p>
            <w:pPr>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lang w:val="en-US" w:eastAsia="zh-CN"/>
              </w:rPr>
              <w:t>电力调度机构</w:t>
            </w:r>
          </w:p>
        </w:tc>
        <w:tc>
          <w:tcPr>
            <w:tcW w:w="1632" w:type="dxa"/>
            <w:tcBorders>
              <w:top w:val="single" w:color="000000" w:sz="12" w:space="0"/>
              <w:tl2br w:val="nil"/>
              <w:tr2bl w:val="nil"/>
            </w:tcBorders>
            <w:noWrap/>
            <w:vAlign w:val="center"/>
          </w:tcPr>
          <w:p>
            <w:pPr>
              <w:keepNext w:val="0"/>
              <w:keepLines w:val="0"/>
              <w:widowControl/>
              <w:suppressLineNumbers w:val="0"/>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lang w:val="zh-CN" w:eastAsia="zh-CN"/>
              </w:rPr>
              <w:t>巡逻周期间隔≤</w:t>
            </w:r>
            <w:r>
              <w:rPr>
                <w:rFonts w:hint="eastAsia" w:ascii="宋体" w:hAnsi="宋体" w:cs="宋体"/>
                <w:color w:val="auto"/>
                <w:sz w:val="18"/>
                <w:szCs w:val="18"/>
                <w:highlight w:val="none"/>
                <w:lang w:val="en-US" w:eastAsia="zh-CN"/>
              </w:rPr>
              <w:t>4</w:t>
            </w:r>
            <w:r>
              <w:rPr>
                <w:rFonts w:hint="eastAsia" w:ascii="宋体" w:hAnsi="宋体" w:eastAsia="宋体" w:cs="宋体"/>
                <w:color w:val="auto"/>
                <w:sz w:val="18"/>
                <w:szCs w:val="18"/>
                <w:highlight w:val="none"/>
                <w:lang w:val="zh-CN" w:eastAsia="zh-CN"/>
              </w:rPr>
              <w:t xml:space="preserve"> h</w:t>
            </w:r>
          </w:p>
        </w:tc>
        <w:tc>
          <w:tcPr>
            <w:tcW w:w="1700" w:type="dxa"/>
            <w:tcBorders>
              <w:top w:val="single" w:color="000000" w:sz="12" w:space="0"/>
              <w:tl2br w:val="nil"/>
              <w:tr2bl w:val="nil"/>
            </w:tcBorders>
            <w:noWrap/>
            <w:vAlign w:val="center"/>
          </w:tcPr>
          <w:p>
            <w:pPr>
              <w:keepNext w:val="0"/>
              <w:keepLines w:val="0"/>
              <w:widowControl/>
              <w:suppressLineNumbers w:val="0"/>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lang w:val="zh-CN" w:eastAsia="zh-CN"/>
              </w:rPr>
              <w:t>巡逻周期间隔≤</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lang w:val="zh-CN" w:eastAsia="zh-CN"/>
              </w:rPr>
              <w:t xml:space="preserve"> h</w:t>
            </w:r>
          </w:p>
        </w:tc>
        <w:tc>
          <w:tcPr>
            <w:tcW w:w="1767" w:type="dxa"/>
            <w:tcBorders>
              <w:top w:val="single" w:color="000000" w:sz="12" w:space="0"/>
              <w:tl2br w:val="nil"/>
              <w:tr2bl w:val="nil"/>
            </w:tcBorders>
            <w:noWrap/>
            <w:vAlign w:val="center"/>
          </w:tcPr>
          <w:p>
            <w:pPr>
              <w:keepNext w:val="0"/>
              <w:keepLines w:val="0"/>
              <w:widowControl/>
              <w:suppressLineNumbers w:val="0"/>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lang w:val="zh-CN" w:eastAsia="zh-CN"/>
              </w:rPr>
              <w:t>巡逻周期间隔≤</w:t>
            </w: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lang w:val="zh-CN" w:eastAsia="zh-CN"/>
              </w:rPr>
              <w:t xml:space="preserve"> 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618" w:type="dxa"/>
            <w:tcBorders>
              <w:tl2br w:val="nil"/>
              <w:tr2bl w:val="nil"/>
            </w:tcBorders>
            <w:noWrap/>
            <w:vAlign w:val="center"/>
          </w:tcPr>
          <w:p>
            <w:pPr>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重点目标场</w:t>
            </w:r>
          </w:p>
        </w:tc>
        <w:tc>
          <w:tcPr>
            <w:tcW w:w="1632" w:type="dxa"/>
            <w:tcBorders>
              <w:tl2br w:val="nil"/>
              <w:tr2bl w:val="nil"/>
            </w:tcBorders>
            <w:noWrap/>
            <w:vAlign w:val="center"/>
          </w:tcPr>
          <w:p>
            <w:pPr>
              <w:keepNext w:val="0"/>
              <w:keepLines w:val="0"/>
              <w:widowControl/>
              <w:suppressLineNumbers w:val="0"/>
              <w:jc w:val="center"/>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巡逻周期间隔≤</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lang w:val="zh-CN" w:eastAsia="zh-CN"/>
              </w:rPr>
              <w:t xml:space="preserve"> h</w:t>
            </w:r>
          </w:p>
        </w:tc>
        <w:tc>
          <w:tcPr>
            <w:tcW w:w="1700" w:type="dxa"/>
            <w:tcBorders>
              <w:tl2br w:val="nil"/>
              <w:tr2bl w:val="nil"/>
            </w:tcBorders>
            <w:noWrap/>
            <w:vAlign w:val="center"/>
          </w:tcPr>
          <w:p>
            <w:pPr>
              <w:keepNext w:val="0"/>
              <w:keepLines w:val="0"/>
              <w:widowControl/>
              <w:suppressLineNumbers w:val="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zh-CN" w:eastAsia="zh-CN"/>
              </w:rPr>
              <w:t>巡逻周期间隔≤</w:t>
            </w: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lang w:val="zh-CN" w:eastAsia="zh-CN"/>
              </w:rPr>
              <w:t>h</w:t>
            </w:r>
          </w:p>
        </w:tc>
        <w:tc>
          <w:tcPr>
            <w:tcW w:w="1767" w:type="dxa"/>
            <w:tcBorders>
              <w:tl2br w:val="nil"/>
              <w:tr2bl w:val="nil"/>
            </w:tcBorders>
            <w:noWrap/>
            <w:vAlign w:val="center"/>
          </w:tcPr>
          <w:p>
            <w:pPr>
              <w:keepNext w:val="0"/>
              <w:keepLines w:val="0"/>
              <w:widowControl/>
              <w:suppressLineNumbers w:val="0"/>
              <w:jc w:val="center"/>
              <w:rPr>
                <w:rFonts w:hint="eastAsia" w:ascii="宋体" w:hAnsi="宋体" w:eastAsia="宋体" w:cs="宋体"/>
                <w:color w:val="auto"/>
                <w:kern w:val="2"/>
                <w:sz w:val="18"/>
                <w:szCs w:val="18"/>
                <w:highlight w:val="none"/>
                <w:lang w:val="zh-CN" w:eastAsia="zh-CN" w:bidi="ar-SA"/>
              </w:rPr>
            </w:pPr>
            <w:r>
              <w:rPr>
                <w:rFonts w:hint="eastAsia" w:ascii="宋体" w:hAnsi="宋体" w:eastAsia="宋体" w:cs="宋体"/>
                <w:color w:val="auto"/>
                <w:sz w:val="18"/>
                <w:szCs w:val="18"/>
                <w:highlight w:val="none"/>
                <w:lang w:val="zh-CN" w:eastAsia="zh-CN"/>
              </w:rPr>
              <w:t>巡逻周期间隔≤</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lang w:val="zh-CN" w:eastAsia="zh-CN"/>
              </w:rPr>
              <w:t xml:space="preserve"> 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618" w:type="dxa"/>
            <w:tcBorders>
              <w:tl2br w:val="nil"/>
              <w:tr2bl w:val="nil"/>
            </w:tcBorders>
            <w:noWrap/>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变电站、换流站</w:t>
            </w:r>
          </w:p>
        </w:tc>
        <w:tc>
          <w:tcPr>
            <w:tcW w:w="1632" w:type="dxa"/>
            <w:tcBorders>
              <w:tl2br w:val="nil"/>
              <w:tr2bl w:val="nil"/>
            </w:tcBorders>
            <w:noWrap/>
            <w:vAlign w:val="center"/>
          </w:tcPr>
          <w:p>
            <w:pPr>
              <w:keepNext w:val="0"/>
              <w:keepLines w:val="0"/>
              <w:widowControl/>
              <w:suppressLineNumbers w:val="0"/>
              <w:jc w:val="center"/>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巡逻周期间隔≤</w:t>
            </w: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lang w:val="zh-CN" w:eastAsia="zh-CN"/>
              </w:rPr>
              <w:t xml:space="preserve"> h</w:t>
            </w:r>
          </w:p>
        </w:tc>
        <w:tc>
          <w:tcPr>
            <w:tcW w:w="1700" w:type="dxa"/>
            <w:tcBorders>
              <w:tl2br w:val="nil"/>
              <w:tr2bl w:val="nil"/>
            </w:tcBorders>
            <w:noWrap/>
            <w:vAlign w:val="center"/>
          </w:tcPr>
          <w:p>
            <w:pPr>
              <w:keepNext w:val="0"/>
              <w:keepLines w:val="0"/>
              <w:widowControl/>
              <w:suppressLineNumbers w:val="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zh-CN" w:eastAsia="zh-CN"/>
              </w:rPr>
              <w:t>巡逻周期间隔≤</w:t>
            </w:r>
            <w:r>
              <w:rPr>
                <w:rFonts w:hint="eastAsia" w:ascii="宋体" w:hAnsi="宋体" w:eastAsia="宋体" w:cs="宋体"/>
                <w:color w:val="auto"/>
                <w:sz w:val="18"/>
                <w:szCs w:val="18"/>
                <w:highlight w:val="none"/>
                <w:lang w:val="en-US" w:eastAsia="zh-CN"/>
              </w:rPr>
              <w:t>12</w:t>
            </w:r>
            <w:r>
              <w:rPr>
                <w:rFonts w:hint="eastAsia" w:ascii="宋体" w:hAnsi="宋体" w:eastAsia="宋体" w:cs="宋体"/>
                <w:color w:val="auto"/>
                <w:sz w:val="18"/>
                <w:szCs w:val="18"/>
                <w:highlight w:val="none"/>
                <w:lang w:val="zh-CN" w:eastAsia="zh-CN"/>
              </w:rPr>
              <w:t xml:space="preserve"> h</w:t>
            </w:r>
          </w:p>
        </w:tc>
        <w:tc>
          <w:tcPr>
            <w:tcW w:w="1767" w:type="dxa"/>
            <w:tcBorders>
              <w:tl2br w:val="nil"/>
              <w:tr2bl w:val="nil"/>
            </w:tcBorders>
            <w:noWrap/>
            <w:vAlign w:val="center"/>
          </w:tcPr>
          <w:p>
            <w:pPr>
              <w:keepNext w:val="0"/>
              <w:keepLines w:val="0"/>
              <w:widowControl/>
              <w:suppressLineNumbers w:val="0"/>
              <w:jc w:val="center"/>
              <w:rPr>
                <w:rFonts w:hint="eastAsia" w:ascii="宋体" w:hAnsi="宋体" w:eastAsia="宋体" w:cs="宋体"/>
                <w:color w:val="auto"/>
                <w:kern w:val="2"/>
                <w:sz w:val="18"/>
                <w:szCs w:val="18"/>
                <w:highlight w:val="none"/>
                <w:lang w:val="zh-CN" w:eastAsia="zh-CN" w:bidi="ar-SA"/>
              </w:rPr>
            </w:pPr>
            <w:r>
              <w:rPr>
                <w:rFonts w:hint="eastAsia" w:ascii="宋体" w:hAnsi="宋体" w:eastAsia="宋体" w:cs="宋体"/>
                <w:color w:val="auto"/>
                <w:sz w:val="18"/>
                <w:szCs w:val="18"/>
                <w:highlight w:val="none"/>
                <w:lang w:val="zh-CN" w:eastAsia="zh-CN"/>
              </w:rPr>
              <w:t>巡逻周期间隔≤</w:t>
            </w:r>
            <w:r>
              <w:rPr>
                <w:rFonts w:hint="eastAsia" w:ascii="宋体" w:hAnsi="宋体" w:eastAsia="宋体" w:cs="宋体"/>
                <w:color w:val="auto"/>
                <w:sz w:val="18"/>
                <w:szCs w:val="18"/>
                <w:highlight w:val="none"/>
                <w:lang w:val="en-US" w:eastAsia="zh-CN"/>
              </w:rPr>
              <w:t>24</w:t>
            </w:r>
            <w:r>
              <w:rPr>
                <w:rFonts w:hint="eastAsia" w:ascii="宋体" w:hAnsi="宋体" w:eastAsia="宋体" w:cs="宋体"/>
                <w:color w:val="auto"/>
                <w:sz w:val="18"/>
                <w:szCs w:val="18"/>
                <w:highlight w:val="none"/>
                <w:lang w:val="zh-CN" w:eastAsia="zh-CN"/>
              </w:rPr>
              <w:t xml:space="preserve"> h</w:t>
            </w:r>
          </w:p>
        </w:tc>
      </w:tr>
    </w:tbl>
    <w:p>
      <w:pPr>
        <w:jc w:val="both"/>
        <w:rPr>
          <w:rFonts w:ascii="黑体" w:hAnsi="黑体" w:eastAsia="黑体" w:cs="黑体"/>
          <w:color w:val="auto"/>
          <w:highlight w:val="none"/>
        </w:rPr>
      </w:pP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324" w:name="_Toc14490"/>
      <w:r>
        <w:rPr>
          <w:rFonts w:hint="eastAsia" w:ascii="宋体" w:hAnsi="宋体" w:eastAsia="宋体" w:cs="宋体"/>
          <w:b/>
          <w:bCs/>
          <w:color w:val="auto"/>
          <w:sz w:val="24"/>
          <w:szCs w:val="24"/>
          <w:highlight w:val="none"/>
          <w:lang w:val="en-US" w:eastAsia="zh-CN"/>
        </w:rPr>
        <w:t>11.2  反恐怖防范应急</w:t>
      </w:r>
      <w:bookmarkEnd w:id="324"/>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11.2.1 </w:t>
      </w:r>
      <w:r>
        <w:rPr>
          <w:rFonts w:hint="eastAsia" w:ascii="宋体" w:hAnsi="宋体" w:eastAsia="宋体" w:cs="宋体"/>
          <w:vanish w:val="0"/>
          <w:color w:val="auto"/>
          <w:sz w:val="24"/>
          <w:szCs w:val="24"/>
          <w:highlight w:val="none"/>
          <w:lang w:val="en-US" w:eastAsia="zh-CN"/>
        </w:rPr>
        <w:t xml:space="preserve"> 非常态防恐信息、事件处理要求：发生恐怖袭击信息或发生恐怖袭击事件时，按治安防恐事件信息报送流程及时报警，要求治安案件应≤1</w:t>
      </w:r>
      <w:r>
        <w:rPr>
          <w:rFonts w:hint="eastAsia" w:ascii="宋体" w:hAnsi="宋体" w:cs="宋体"/>
          <w:vanish w:val="0"/>
          <w:color w:val="auto"/>
          <w:sz w:val="24"/>
          <w:szCs w:val="24"/>
          <w:highlight w:val="none"/>
          <w:lang w:val="en-US" w:eastAsia="zh-CN"/>
        </w:rPr>
        <w:t xml:space="preserve"> h</w:t>
      </w:r>
      <w:r>
        <w:rPr>
          <w:rFonts w:hint="eastAsia" w:ascii="宋体" w:hAnsi="宋体" w:eastAsia="宋体" w:cs="宋体"/>
          <w:vanish w:val="0"/>
          <w:color w:val="auto"/>
          <w:sz w:val="24"/>
          <w:szCs w:val="24"/>
          <w:highlight w:val="none"/>
          <w:lang w:val="en-US" w:eastAsia="zh-CN"/>
        </w:rPr>
        <w:t>、涉恐信息≤0.5</w:t>
      </w:r>
      <w:r>
        <w:rPr>
          <w:rFonts w:hint="eastAsia" w:ascii="宋体" w:hAnsi="宋体" w:cs="宋体"/>
          <w:vanish w:val="0"/>
          <w:color w:val="auto"/>
          <w:sz w:val="24"/>
          <w:szCs w:val="24"/>
          <w:highlight w:val="none"/>
          <w:lang w:val="en-US" w:eastAsia="zh-CN"/>
        </w:rPr>
        <w:t xml:space="preserve"> h</w:t>
      </w:r>
      <w:r>
        <w:rPr>
          <w:rFonts w:hint="eastAsia" w:ascii="宋体" w:hAnsi="宋体" w:eastAsia="宋体" w:cs="宋体"/>
          <w:vanish w:val="0"/>
          <w:color w:val="auto"/>
          <w:sz w:val="24"/>
          <w:szCs w:val="24"/>
          <w:highlight w:val="none"/>
          <w:lang w:val="en-US" w:eastAsia="zh-CN"/>
        </w:rPr>
        <w:t>将案（事）件简况先以电话方式逐级上报同时应按重大事项报告时限及要求书面报送；发生其他涉治安防恐类的事件信息，按照电力企业驻地单位相关要求及时报送。</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11.2.2</w:t>
      </w:r>
      <w:r>
        <w:rPr>
          <w:rFonts w:hint="eastAsia" w:ascii="宋体" w:hAnsi="宋体" w:eastAsia="宋体" w:cs="宋体"/>
          <w:vanish w:val="0"/>
          <w:color w:val="auto"/>
          <w:sz w:val="24"/>
          <w:szCs w:val="24"/>
          <w:highlight w:val="none"/>
          <w:lang w:val="en-US" w:eastAsia="zh-CN"/>
        </w:rPr>
        <w:t xml:space="preserve">  发生非常态防恐时，应该立即开展治安防恐动员，在满足常态防范措施的基础上，落实包括但不限于以下内容：</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r>
        <w:rPr>
          <w:rFonts w:hint="eastAsia" w:ascii="宋体" w:hAnsi="宋体" w:eastAsia="宋体" w:cs="宋体"/>
          <w:vanish w:val="0"/>
          <w:color w:val="auto"/>
          <w:sz w:val="24"/>
          <w:szCs w:val="24"/>
          <w:highlight w:val="none"/>
          <w:lang w:val="en-US" w:eastAsia="zh-CN"/>
        </w:rPr>
        <w:t>1  加强保卫力量，安防监控中心加强监控，发现异常情况及时处理；</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r>
        <w:rPr>
          <w:rFonts w:hint="eastAsia" w:ascii="宋体" w:hAnsi="宋体" w:eastAsia="宋体" w:cs="宋体"/>
          <w:vanish w:val="0"/>
          <w:color w:val="auto"/>
          <w:sz w:val="24"/>
          <w:szCs w:val="24"/>
          <w:highlight w:val="none"/>
          <w:lang w:val="en-US" w:eastAsia="zh-CN"/>
        </w:rPr>
        <w:t>2</w:t>
      </w:r>
      <w:r>
        <w:rPr>
          <w:rFonts w:hint="eastAsia" w:ascii="宋体" w:hAnsi="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启动防恐应急分队与及“一所一警”、“一站一警”警企协作机制，加强场所的巡逻守护，视情况请求电力企业驻地单位协调属地公安机关派驻警力进行安全守卫；</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r>
        <w:rPr>
          <w:rFonts w:hint="eastAsia" w:ascii="宋体" w:hAnsi="宋体" w:eastAsia="宋体" w:cs="宋体"/>
          <w:vanish w:val="0"/>
          <w:color w:val="auto"/>
          <w:sz w:val="24"/>
          <w:szCs w:val="24"/>
          <w:highlight w:val="none"/>
          <w:lang w:val="en-US" w:eastAsia="zh-CN"/>
        </w:rPr>
        <w:t>3  物业负责人24小时带班组织防范工作，进入应急工作状态。重点部位定点巡查，严格控制无关人员进入并实行24小时不间断巡查；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r>
        <w:rPr>
          <w:rFonts w:hint="eastAsia" w:ascii="宋体" w:hAnsi="宋体" w:eastAsia="宋体" w:cs="宋体"/>
          <w:vanish w:val="0"/>
          <w:color w:val="auto"/>
          <w:sz w:val="24"/>
          <w:szCs w:val="24"/>
          <w:highlight w:val="none"/>
          <w:lang w:val="en-US" w:eastAsia="zh-CN"/>
        </w:rPr>
        <w:t>4  周界出入口应设置警戒区域，实行进出许可管控，必要时紧急疏散人员；</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r>
        <w:rPr>
          <w:rFonts w:hint="eastAsia" w:ascii="宋体" w:hAnsi="宋体" w:eastAsia="宋体" w:cs="宋体"/>
          <w:vanish w:val="0"/>
          <w:color w:val="auto"/>
          <w:sz w:val="24"/>
          <w:szCs w:val="24"/>
          <w:highlight w:val="none"/>
          <w:lang w:val="en-US" w:eastAsia="zh-CN"/>
        </w:rPr>
        <w:t>5  加强对出入人员、车辆及物品的安全检查，对外来人员携带物品进行开包检查，由受访人接入送出；</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r>
        <w:rPr>
          <w:rFonts w:hint="eastAsia" w:ascii="宋体" w:hAnsi="宋体" w:eastAsia="宋体" w:cs="宋体"/>
          <w:vanish w:val="0"/>
          <w:color w:val="auto"/>
          <w:sz w:val="24"/>
          <w:szCs w:val="24"/>
          <w:highlight w:val="none"/>
          <w:lang w:val="en-US" w:eastAsia="zh-CN"/>
        </w:rPr>
        <w:t>6  做好防护器具、救援器材、应急物资以及重点部位的门、窗、锁、防冲撞装置等设施的有效检查，消除安全 隐患；</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r>
        <w:rPr>
          <w:rFonts w:hint="eastAsia" w:ascii="宋体" w:hAnsi="宋体" w:eastAsia="宋体" w:cs="宋体"/>
          <w:vanish w:val="0"/>
          <w:color w:val="auto"/>
          <w:sz w:val="24"/>
          <w:szCs w:val="24"/>
          <w:highlight w:val="none"/>
          <w:lang w:val="en-US" w:eastAsia="zh-CN"/>
        </w:rPr>
        <w:t>7  结合实际关闭部分周界出入口，周界出入口的防冲撞装置 应设置为阻截状态，严禁外部车辆进入重点部位；</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r>
        <w:rPr>
          <w:rFonts w:hint="eastAsia" w:ascii="宋体" w:hAnsi="宋体" w:eastAsia="宋体" w:cs="宋体"/>
          <w:vanish w:val="0"/>
          <w:color w:val="auto"/>
          <w:sz w:val="24"/>
          <w:szCs w:val="24"/>
          <w:highlight w:val="none"/>
          <w:lang w:val="en-US" w:eastAsia="zh-CN"/>
        </w:rPr>
        <w:t>8  做好技防设施、通信设备的检查和维护，确保安 防系统正常运行及通信设备的正常使用。</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11.2.3 </w:t>
      </w:r>
      <w:r>
        <w:rPr>
          <w:rFonts w:hint="eastAsia" w:ascii="宋体" w:hAnsi="宋体" w:eastAsia="宋体" w:cs="宋体"/>
          <w:vanish w:val="0"/>
          <w:color w:val="auto"/>
          <w:sz w:val="24"/>
          <w:szCs w:val="24"/>
          <w:highlight w:val="none"/>
          <w:lang w:val="en-US" w:eastAsia="zh-CN"/>
        </w:rPr>
        <w:t xml:space="preserve"> 在非常态出现突发紧急事件的情况下，按属地政府和反恐部门统一部署要求执行。</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11.2.4</w:t>
      </w:r>
      <w:r>
        <w:rPr>
          <w:rFonts w:hint="eastAsia" w:ascii="宋体" w:hAnsi="宋体" w:eastAsia="宋体" w:cs="宋体"/>
          <w:vanish w:val="0"/>
          <w:color w:val="auto"/>
          <w:sz w:val="24"/>
          <w:szCs w:val="24"/>
          <w:highlight w:val="none"/>
          <w:lang w:val="en-US" w:eastAsia="zh-CN"/>
        </w:rPr>
        <w:t xml:space="preserve">  发现无人机入侵需报属地公安机关，击落的无人机需送交属地公安机</w:t>
      </w:r>
      <w:r>
        <w:rPr>
          <w:rFonts w:hint="eastAsia" w:ascii="宋体" w:hAnsi="宋体" w:cs="宋体"/>
          <w:vanish w:val="0"/>
          <w:color w:val="auto"/>
          <w:sz w:val="24"/>
          <w:szCs w:val="24"/>
          <w:highlight w:val="none"/>
          <w:lang w:val="en-US" w:eastAsia="zh-CN"/>
        </w:rPr>
        <w:t>关</w:t>
      </w:r>
      <w:r>
        <w:rPr>
          <w:rFonts w:hint="eastAsia" w:ascii="宋体" w:hAnsi="宋体" w:eastAsia="宋体" w:cs="宋体"/>
          <w:vanish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325" w:name="_Toc19656"/>
      <w:r>
        <w:rPr>
          <w:rFonts w:hint="eastAsia" w:ascii="宋体" w:hAnsi="宋体" w:eastAsia="宋体" w:cs="宋体"/>
          <w:b/>
          <w:bCs/>
          <w:color w:val="auto"/>
          <w:sz w:val="24"/>
          <w:szCs w:val="24"/>
          <w:highlight w:val="none"/>
          <w:lang w:val="en-US" w:eastAsia="zh-CN"/>
        </w:rPr>
        <w:t>11.3  日常服务应急</w:t>
      </w:r>
      <w:bookmarkEnd w:id="325"/>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11.3.1 </w:t>
      </w:r>
      <w:r>
        <w:rPr>
          <w:rFonts w:hint="eastAsia" w:ascii="宋体" w:hAnsi="宋体" w:eastAsia="宋体" w:cs="宋体"/>
          <w:vanish w:val="0"/>
          <w:color w:val="auto"/>
          <w:sz w:val="24"/>
          <w:szCs w:val="24"/>
          <w:highlight w:val="none"/>
          <w:lang w:val="en-US" w:eastAsia="zh-CN"/>
        </w:rPr>
        <w:t xml:space="preserve"> 建立日常运行服务应急管理制度、制定突发事件应急处理程序，落实应急管理组织机构及职责并成立应急分队。</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11.3.2 </w:t>
      </w:r>
      <w:r>
        <w:rPr>
          <w:rFonts w:hint="eastAsia" w:ascii="宋体" w:hAnsi="宋体" w:eastAsia="宋体" w:cs="宋体"/>
          <w:vanish w:val="0"/>
          <w:color w:val="auto"/>
          <w:sz w:val="24"/>
          <w:szCs w:val="24"/>
          <w:highlight w:val="none"/>
          <w:lang w:val="en-US" w:eastAsia="zh-CN"/>
        </w:rPr>
        <w:t xml:space="preserve"> 建立良性的应急管理运行机制，包括：隐患排查、预测预警、应急处置、恢复和信息的报告。</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11.3.3</w:t>
      </w:r>
      <w:r>
        <w:rPr>
          <w:rFonts w:hint="eastAsia" w:ascii="宋体" w:hAnsi="宋体" w:eastAsia="宋体" w:cs="宋体"/>
          <w:vanish w:val="0"/>
          <w:color w:val="auto"/>
          <w:sz w:val="24"/>
          <w:szCs w:val="24"/>
          <w:highlight w:val="none"/>
          <w:lang w:val="en-US" w:eastAsia="zh-CN"/>
        </w:rPr>
        <w:t xml:space="preserve">  应制定各类应急预案，包括意外事故类、公共卫生类、社会治安类、自然灾害类及其他类应急预案，分类的主要内容应包括但不限于：</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r>
        <w:rPr>
          <w:rFonts w:hint="eastAsia" w:ascii="宋体" w:hAnsi="宋体" w:eastAsia="宋体" w:cs="宋体"/>
          <w:vanish w:val="0"/>
          <w:color w:val="auto"/>
          <w:sz w:val="24"/>
          <w:szCs w:val="24"/>
          <w:highlight w:val="none"/>
          <w:lang w:val="en-US" w:eastAsia="zh-CN"/>
        </w:rPr>
        <w:t xml:space="preserve">1  意外事故：主要包括火警火灾、电梯故障困人、燃气泄漏、突发爆水管、大面积停水/停电等；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r>
        <w:rPr>
          <w:rFonts w:hint="eastAsia" w:ascii="宋体" w:hAnsi="宋体" w:eastAsia="宋体" w:cs="宋体"/>
          <w:vanish w:val="0"/>
          <w:color w:val="auto"/>
          <w:sz w:val="24"/>
          <w:szCs w:val="24"/>
          <w:highlight w:val="none"/>
          <w:lang w:val="en-US" w:eastAsia="zh-CN"/>
        </w:rPr>
        <w:t>2  社会安全：主要包括打架斗殴、游泳池人员溺水、火警火灾、群体性冲突、涉外突发事件、防恐怖主义和防暴力事件等；</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r>
        <w:rPr>
          <w:rFonts w:hint="eastAsia" w:ascii="宋体" w:hAnsi="宋体" w:eastAsia="宋体" w:cs="宋体"/>
          <w:vanish w:val="0"/>
          <w:color w:val="auto"/>
          <w:sz w:val="24"/>
          <w:szCs w:val="24"/>
          <w:highlight w:val="none"/>
          <w:lang w:val="en-US" w:eastAsia="zh-CN"/>
        </w:rPr>
        <w:t>3  公共卫生：主要包括传染病疫情、食物中毒等；</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r>
        <w:rPr>
          <w:rFonts w:hint="eastAsia" w:ascii="宋体" w:hAnsi="宋体" w:eastAsia="宋体" w:cs="宋体"/>
          <w:vanish w:val="0"/>
          <w:color w:val="auto"/>
          <w:sz w:val="24"/>
          <w:szCs w:val="24"/>
          <w:highlight w:val="none"/>
          <w:lang w:val="en-US" w:eastAsia="zh-CN"/>
        </w:rPr>
        <w:t>4  自然灾害：主要包括地震、暴雨、台风、雷电、高温等。</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11.3.4 </w:t>
      </w:r>
      <w:r>
        <w:rPr>
          <w:rFonts w:hint="eastAsia" w:ascii="宋体" w:hAnsi="宋体" w:eastAsia="宋体" w:cs="宋体"/>
          <w:vanish w:val="0"/>
          <w:color w:val="auto"/>
          <w:sz w:val="24"/>
          <w:szCs w:val="24"/>
          <w:highlight w:val="none"/>
          <w:lang w:val="en-US" w:eastAsia="zh-CN"/>
        </w:rPr>
        <w:t xml:space="preserve"> 应识别安全、环境、职业健康风险源，建立风险源管控台帐并定期评估。</w:t>
      </w:r>
    </w:p>
    <w:p>
      <w:pPr>
        <w:keepNext w:val="0"/>
        <w:keepLines w:val="0"/>
        <w:pageBreakBefore w:val="0"/>
        <w:widowControl/>
        <w:kinsoku/>
        <w:wordWrap/>
        <w:overflowPunct/>
        <w:topLinePunct w:val="0"/>
        <w:autoSpaceDE/>
        <w:autoSpaceDN/>
        <w:bidi w:val="0"/>
        <w:adjustRightInd/>
        <w:snapToGrid w:val="0"/>
        <w:spacing w:line="360" w:lineRule="auto"/>
        <w:textAlignment w:val="auto"/>
        <w:outlineLvl w:val="2"/>
        <w:rPr>
          <w:rFonts w:hint="eastAsia" w:ascii="宋体" w:hAnsi="宋体" w:eastAsia="宋体" w:cs="宋体"/>
          <w:vanish w:val="0"/>
          <w:color w:val="auto"/>
          <w:sz w:val="24"/>
          <w:szCs w:val="24"/>
          <w:highlight w:val="none"/>
          <w:lang w:val="en-US" w:eastAsia="zh-CN"/>
        </w:rPr>
      </w:pPr>
      <w:bookmarkStart w:id="326" w:name="_Toc4744"/>
      <w:r>
        <w:rPr>
          <w:rFonts w:hint="eastAsia" w:ascii="Times New Roman" w:hAnsi="Times New Roman" w:eastAsia="宋体" w:cs="Times New Roman"/>
          <w:b/>
          <w:bCs/>
          <w:i w:val="0"/>
          <w:color w:val="auto"/>
          <w:kern w:val="2"/>
          <w:sz w:val="24"/>
          <w:szCs w:val="24"/>
          <w:highlight w:val="none"/>
          <w:lang w:val="en-US" w:eastAsia="zh-CN" w:bidi="ar-SA"/>
        </w:rPr>
        <w:t>11.3.5</w:t>
      </w:r>
      <w:r>
        <w:rPr>
          <w:rFonts w:hint="eastAsia" w:ascii="宋体" w:hAnsi="宋体" w:eastAsia="宋体" w:cs="宋体"/>
          <w:vanish w:val="0"/>
          <w:color w:val="auto"/>
          <w:sz w:val="24"/>
          <w:szCs w:val="24"/>
          <w:highlight w:val="none"/>
          <w:lang w:val="en-US" w:eastAsia="zh-CN"/>
        </w:rPr>
        <w:t xml:space="preserve">  定期对相关人员进行应急预案培训。</w:t>
      </w:r>
      <w:bookmarkEnd w:id="326"/>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11.3.6</w:t>
      </w:r>
      <w:r>
        <w:rPr>
          <w:rFonts w:hint="eastAsia" w:ascii="宋体" w:hAnsi="宋体" w:eastAsia="宋体" w:cs="宋体"/>
          <w:vanish w:val="0"/>
          <w:color w:val="auto"/>
          <w:sz w:val="24"/>
          <w:szCs w:val="24"/>
          <w:highlight w:val="none"/>
          <w:lang w:val="en-US" w:eastAsia="zh-CN"/>
        </w:rPr>
        <w:t xml:space="preserve">  应制定应急预案的演练计划，明确不同类型应急预案的演练形式、范围、频次、内容。</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11.3.7</w:t>
      </w:r>
      <w:r>
        <w:rPr>
          <w:rFonts w:hint="eastAsia" w:ascii="宋体" w:hAnsi="宋体" w:eastAsia="宋体" w:cs="宋体"/>
          <w:vanish w:val="0"/>
          <w:color w:val="auto"/>
          <w:sz w:val="24"/>
          <w:szCs w:val="24"/>
          <w:highlight w:val="none"/>
          <w:lang w:val="en-US" w:eastAsia="zh-CN"/>
        </w:rPr>
        <w:t xml:space="preserve">  每年组织对各类型应急预案均不能少于一次应急预案演练，不断优化应急预案。</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11.3.8</w:t>
      </w:r>
      <w:r>
        <w:rPr>
          <w:rFonts w:hint="eastAsia" w:ascii="宋体" w:hAnsi="宋体" w:eastAsia="宋体" w:cs="宋体"/>
          <w:vanish w:val="0"/>
          <w:color w:val="auto"/>
          <w:sz w:val="24"/>
          <w:szCs w:val="24"/>
          <w:highlight w:val="none"/>
          <w:lang w:val="en-US" w:eastAsia="zh-CN"/>
        </w:rPr>
        <w:t xml:space="preserve">  应急救援器材、设备和物资应定期检查、维护和保养。</w:t>
      </w:r>
    </w:p>
    <w:p>
      <w:pPr>
        <w:keepNext w:val="0"/>
        <w:keepLines w:val="0"/>
        <w:pageBreakBefore w:val="0"/>
        <w:widowControl/>
        <w:kinsoku/>
        <w:wordWrap/>
        <w:overflowPunct/>
        <w:topLinePunct w:val="0"/>
        <w:autoSpaceDE/>
        <w:autoSpaceDN/>
        <w:bidi w:val="0"/>
        <w:adjustRightInd/>
        <w:snapToGrid w:val="0"/>
        <w:spacing w:line="360" w:lineRule="auto"/>
        <w:textAlignment w:val="auto"/>
        <w:outlineLvl w:val="2"/>
        <w:rPr>
          <w:rFonts w:hint="eastAsia" w:ascii="宋体" w:hAnsi="宋体" w:eastAsia="宋体" w:cs="宋体"/>
          <w:vanish w:val="0"/>
          <w:color w:val="auto"/>
          <w:sz w:val="24"/>
          <w:szCs w:val="24"/>
          <w:highlight w:val="none"/>
          <w:lang w:val="en-US" w:eastAsia="zh-CN"/>
        </w:rPr>
      </w:pPr>
      <w:bookmarkStart w:id="327" w:name="_Toc11805"/>
      <w:r>
        <w:rPr>
          <w:rFonts w:hint="eastAsia" w:ascii="Times New Roman" w:hAnsi="Times New Roman" w:eastAsia="宋体" w:cs="Times New Roman"/>
          <w:b/>
          <w:bCs/>
          <w:i w:val="0"/>
          <w:color w:val="auto"/>
          <w:kern w:val="2"/>
          <w:sz w:val="24"/>
          <w:szCs w:val="24"/>
          <w:highlight w:val="none"/>
          <w:lang w:val="en-US" w:eastAsia="zh-CN" w:bidi="ar-SA"/>
        </w:rPr>
        <w:t>11.3.9</w:t>
      </w:r>
      <w:r>
        <w:rPr>
          <w:rFonts w:hint="eastAsia" w:ascii="宋体" w:hAnsi="宋体" w:eastAsia="宋体" w:cs="宋体"/>
          <w:vanish w:val="0"/>
          <w:color w:val="auto"/>
          <w:sz w:val="24"/>
          <w:szCs w:val="24"/>
          <w:highlight w:val="none"/>
          <w:lang w:val="en-US" w:eastAsia="zh-CN"/>
        </w:rPr>
        <w:t xml:space="preserve">  事件处置应记录并存档。</w:t>
      </w:r>
      <w:bookmarkEnd w:id="327"/>
    </w:p>
    <w:p>
      <w:pPr>
        <w:keepNext w:val="0"/>
        <w:keepLines w:val="0"/>
        <w:pageBreakBefore w:val="0"/>
        <w:widowControl w:val="0"/>
        <w:kinsoku/>
        <w:wordWrap/>
        <w:overflowPunct/>
        <w:topLinePunct w:val="0"/>
        <w:autoSpaceDE/>
        <w:autoSpaceDN/>
        <w:bidi w:val="0"/>
        <w:adjustRightInd/>
        <w:snapToGrid/>
        <w:spacing w:before="313" w:beforeLines="100" w:after="313" w:afterLines="100"/>
        <w:jc w:val="both"/>
        <w:textAlignment w:val="auto"/>
        <w:rPr>
          <w:rFonts w:hint="eastAsia" w:ascii="黑体" w:hAnsi="黑体" w:eastAsia="黑体" w:cs="黑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jc w:val="both"/>
        <w:textAlignment w:val="auto"/>
        <w:rPr>
          <w:rFonts w:hint="eastAsia" w:ascii="黑体" w:hAnsi="黑体" w:eastAsia="黑体" w:cs="黑体"/>
          <w:color w:val="auto"/>
          <w:sz w:val="21"/>
          <w:szCs w:val="21"/>
          <w:highlight w:val="none"/>
        </w:rPr>
      </w:pPr>
    </w:p>
    <w:p>
      <w:pPr>
        <w:pStyle w:val="2"/>
        <w:keepNext w:val="0"/>
        <w:keepLines w:val="0"/>
        <w:pageBreakBefore/>
        <w:spacing w:line="240" w:lineRule="auto"/>
        <w:jc w:val="center"/>
        <w:rPr>
          <w:rFonts w:hint="eastAsia" w:ascii="Times New Roman" w:hAnsi="Times New Roman" w:eastAsia="宋体" w:cs="Times New Roman"/>
          <w:sz w:val="30"/>
          <w:highlight w:val="none"/>
          <w:lang w:val="en-US" w:eastAsia="zh-CN"/>
        </w:rPr>
      </w:pPr>
      <w:bookmarkStart w:id="328" w:name="_Toc31185"/>
      <w:r>
        <w:rPr>
          <w:rFonts w:hint="eastAsia" w:ascii="Times New Roman" w:hAnsi="Times New Roman" w:eastAsia="宋体" w:cs="Times New Roman"/>
          <w:sz w:val="30"/>
          <w:highlight w:val="none"/>
          <w:lang w:val="en-US" w:eastAsia="zh-CN"/>
        </w:rPr>
        <w:t xml:space="preserve">12  </w:t>
      </w:r>
      <w:r>
        <w:rPr>
          <w:rFonts w:hint="eastAsia" w:ascii="Times New Roman" w:hAnsi="Times New Roman" w:eastAsia="宋体" w:cs="Times New Roman"/>
          <w:b w:val="0"/>
          <w:bCs w:val="0"/>
          <w:sz w:val="30"/>
          <w:highlight w:val="none"/>
          <w:lang w:val="en-US" w:eastAsia="zh-CN"/>
        </w:rPr>
        <w:t>车辆驾驶与管理服务</w:t>
      </w:r>
      <w:bookmarkEnd w:id="328"/>
    </w:p>
    <w:p>
      <w:pPr>
        <w:keepNext w:val="0"/>
        <w:keepLines w:val="0"/>
        <w:pageBreakBefore w:val="0"/>
        <w:widowControl/>
        <w:kinsoku/>
        <w:wordWrap/>
        <w:overflowPunct/>
        <w:topLinePunct w:val="0"/>
        <w:autoSpaceDE/>
        <w:autoSpaceDN/>
        <w:bidi w:val="0"/>
        <w:adjustRightInd/>
        <w:snapToGrid w:val="0"/>
        <w:spacing w:line="360" w:lineRule="auto"/>
        <w:textAlignment w:val="auto"/>
        <w:outlineLvl w:val="1"/>
        <w:rPr>
          <w:rFonts w:hint="eastAsia" w:ascii="宋体" w:hAnsi="宋体" w:eastAsia="宋体" w:cs="宋体"/>
          <w:vanish w:val="0"/>
          <w:color w:val="auto"/>
          <w:sz w:val="24"/>
          <w:szCs w:val="24"/>
          <w:highlight w:val="none"/>
          <w:lang w:val="en-US" w:eastAsia="zh-CN"/>
        </w:rPr>
      </w:pPr>
      <w:bookmarkStart w:id="329" w:name="_Toc19598"/>
      <w:r>
        <w:rPr>
          <w:rFonts w:hint="eastAsia" w:ascii="Times New Roman" w:hAnsi="Times New Roman" w:eastAsia="宋体" w:cs="Times New Roman"/>
          <w:b/>
          <w:bCs/>
          <w:i w:val="0"/>
          <w:color w:val="auto"/>
          <w:kern w:val="2"/>
          <w:sz w:val="24"/>
          <w:szCs w:val="24"/>
          <w:highlight w:val="none"/>
          <w:lang w:val="en-US" w:eastAsia="zh-CN" w:bidi="ar-SA"/>
        </w:rPr>
        <w:t>12.</w:t>
      </w:r>
      <w:r>
        <w:rPr>
          <w:rFonts w:hint="eastAsia" w:ascii="Times New Roman" w:hAnsi="Times New Roman" w:cs="Times New Roman"/>
          <w:b/>
          <w:bCs/>
          <w:i w:val="0"/>
          <w:color w:val="auto"/>
          <w:kern w:val="2"/>
          <w:sz w:val="24"/>
          <w:szCs w:val="24"/>
          <w:highlight w:val="none"/>
          <w:lang w:val="en-US" w:eastAsia="zh-CN" w:bidi="ar-SA"/>
        </w:rPr>
        <w:t>0.</w:t>
      </w: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宋体" w:hAnsi="宋体" w:eastAsia="宋体" w:cs="宋体"/>
          <w:vanish w:val="0"/>
          <w:color w:val="auto"/>
          <w:sz w:val="24"/>
          <w:szCs w:val="24"/>
          <w:highlight w:val="none"/>
          <w:lang w:val="en-US" w:eastAsia="zh-CN"/>
        </w:rPr>
        <w:t xml:space="preserve">  应建立健全的车辆运输管理工作规程和岗位责任制度。</w:t>
      </w:r>
      <w:bookmarkEnd w:id="329"/>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12.</w:t>
      </w:r>
      <w:r>
        <w:rPr>
          <w:rFonts w:hint="eastAsia" w:ascii="Times New Roman" w:hAnsi="Times New Roman" w:cs="Times New Roman"/>
          <w:b/>
          <w:bCs/>
          <w:i w:val="0"/>
          <w:color w:val="auto"/>
          <w:kern w:val="2"/>
          <w:sz w:val="24"/>
          <w:szCs w:val="24"/>
          <w:highlight w:val="none"/>
          <w:lang w:val="en-US" w:eastAsia="zh-CN" w:bidi="ar-SA"/>
        </w:rPr>
        <w:t>0.</w:t>
      </w:r>
      <w:r>
        <w:rPr>
          <w:rFonts w:hint="eastAsia" w:ascii="Times New Roman" w:hAnsi="Times New Roman" w:eastAsia="宋体" w:cs="Times New Roman"/>
          <w:b/>
          <w:bCs/>
          <w:i w:val="0"/>
          <w:color w:val="auto"/>
          <w:kern w:val="2"/>
          <w:sz w:val="24"/>
          <w:szCs w:val="24"/>
          <w:highlight w:val="none"/>
          <w:lang w:val="en-US" w:eastAsia="zh-CN" w:bidi="ar-SA"/>
        </w:rPr>
        <w:t>2</w:t>
      </w:r>
      <w:r>
        <w:rPr>
          <w:rFonts w:hint="eastAsia" w:ascii="宋体" w:hAnsi="宋体" w:eastAsia="宋体" w:cs="宋体"/>
          <w:vanish w:val="0"/>
          <w:color w:val="auto"/>
          <w:sz w:val="24"/>
          <w:szCs w:val="24"/>
          <w:highlight w:val="none"/>
          <w:lang w:val="en-US" w:eastAsia="zh-CN"/>
        </w:rPr>
        <w:t xml:space="preserve">  车辆调度实行24小时值班制度，接收到客户车辆服务需求，应及时安排所需车辆和驾驶员，做到不漏调、错调或车型不符等情况。</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12.</w:t>
      </w:r>
      <w:r>
        <w:rPr>
          <w:rFonts w:hint="eastAsia" w:ascii="Times New Roman" w:hAnsi="Times New Roman" w:cs="Times New Roman"/>
          <w:b/>
          <w:bCs/>
          <w:i w:val="0"/>
          <w:color w:val="auto"/>
          <w:kern w:val="2"/>
          <w:sz w:val="24"/>
          <w:szCs w:val="24"/>
          <w:highlight w:val="none"/>
          <w:lang w:val="en-US" w:eastAsia="zh-CN" w:bidi="ar-SA"/>
        </w:rPr>
        <w:t>0.</w:t>
      </w:r>
      <w:r>
        <w:rPr>
          <w:rFonts w:hint="eastAsia" w:ascii="Times New Roman" w:hAnsi="Times New Roman" w:eastAsia="宋体" w:cs="Times New Roman"/>
          <w:b/>
          <w:bCs/>
          <w:i w:val="0"/>
          <w:color w:val="auto"/>
          <w:kern w:val="2"/>
          <w:sz w:val="24"/>
          <w:szCs w:val="24"/>
          <w:highlight w:val="none"/>
          <w:lang w:val="en-US" w:eastAsia="zh-CN" w:bidi="ar-SA"/>
        </w:rPr>
        <w:t xml:space="preserve">3 </w:t>
      </w:r>
      <w:r>
        <w:rPr>
          <w:rFonts w:hint="eastAsia" w:ascii="宋体" w:hAnsi="宋体" w:eastAsia="宋体" w:cs="宋体"/>
          <w:vanish w:val="0"/>
          <w:color w:val="auto"/>
          <w:sz w:val="24"/>
          <w:szCs w:val="24"/>
          <w:highlight w:val="none"/>
          <w:lang w:val="en-US" w:eastAsia="zh-CN"/>
        </w:rPr>
        <w:t xml:space="preserve"> 按客户需求选择适当驾驶路线，驾驶员应做到安全、准时、车行舒适、热情周到。</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12.</w:t>
      </w:r>
      <w:r>
        <w:rPr>
          <w:rFonts w:hint="eastAsia" w:ascii="Times New Roman" w:hAnsi="Times New Roman" w:cs="Times New Roman"/>
          <w:b/>
          <w:bCs/>
          <w:i w:val="0"/>
          <w:color w:val="auto"/>
          <w:kern w:val="2"/>
          <w:sz w:val="24"/>
          <w:szCs w:val="24"/>
          <w:highlight w:val="none"/>
          <w:lang w:val="en-US" w:eastAsia="zh-CN" w:bidi="ar-SA"/>
        </w:rPr>
        <w:t>0.</w:t>
      </w:r>
      <w:r>
        <w:rPr>
          <w:rFonts w:hint="eastAsia" w:ascii="Times New Roman" w:hAnsi="Times New Roman" w:eastAsia="宋体" w:cs="Times New Roman"/>
          <w:b/>
          <w:bCs/>
          <w:i w:val="0"/>
          <w:color w:val="auto"/>
          <w:kern w:val="2"/>
          <w:sz w:val="24"/>
          <w:szCs w:val="24"/>
          <w:highlight w:val="none"/>
          <w:lang w:val="en-US" w:eastAsia="zh-CN" w:bidi="ar-SA"/>
        </w:rPr>
        <w:t xml:space="preserve">4 </w:t>
      </w:r>
      <w:r>
        <w:rPr>
          <w:rFonts w:hint="eastAsia" w:ascii="宋体" w:hAnsi="宋体" w:eastAsia="宋体" w:cs="宋体"/>
          <w:vanish w:val="0"/>
          <w:color w:val="auto"/>
          <w:sz w:val="24"/>
          <w:szCs w:val="24"/>
          <w:highlight w:val="none"/>
          <w:lang w:val="en-US" w:eastAsia="zh-CN"/>
        </w:rPr>
        <w:t xml:space="preserve"> 遇到大雨、大雾、台风天气要低速慢行，打开安全警示灯，能见度极低或风力、雨水过大时要把车辆停至安全地带，待危险降低后再出车。</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12.</w:t>
      </w:r>
      <w:r>
        <w:rPr>
          <w:rFonts w:hint="eastAsia" w:ascii="Times New Roman" w:hAnsi="Times New Roman" w:cs="Times New Roman"/>
          <w:b/>
          <w:bCs/>
          <w:i w:val="0"/>
          <w:color w:val="auto"/>
          <w:kern w:val="2"/>
          <w:sz w:val="24"/>
          <w:szCs w:val="24"/>
          <w:highlight w:val="none"/>
          <w:lang w:val="en-US" w:eastAsia="zh-CN" w:bidi="ar-SA"/>
        </w:rPr>
        <w:t>0.</w:t>
      </w:r>
      <w:r>
        <w:rPr>
          <w:rFonts w:hint="eastAsia" w:ascii="Times New Roman" w:hAnsi="Times New Roman" w:eastAsia="宋体" w:cs="Times New Roman"/>
          <w:b/>
          <w:bCs/>
          <w:i w:val="0"/>
          <w:color w:val="auto"/>
          <w:kern w:val="2"/>
          <w:sz w:val="24"/>
          <w:szCs w:val="24"/>
          <w:highlight w:val="none"/>
          <w:lang w:val="en-US" w:eastAsia="zh-CN" w:bidi="ar-SA"/>
        </w:rPr>
        <w:t xml:space="preserve">5 </w:t>
      </w:r>
      <w:r>
        <w:rPr>
          <w:rFonts w:hint="eastAsia" w:ascii="宋体" w:hAnsi="宋体" w:eastAsia="宋体" w:cs="宋体"/>
          <w:vanish w:val="0"/>
          <w:color w:val="auto"/>
          <w:sz w:val="24"/>
          <w:szCs w:val="24"/>
          <w:highlight w:val="none"/>
          <w:lang w:val="en-US" w:eastAsia="zh-CN"/>
        </w:rPr>
        <w:t xml:space="preserve"> 车辆内外应保持干净整洁并定期清洗，车内无异味。</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12.</w:t>
      </w:r>
      <w:r>
        <w:rPr>
          <w:rFonts w:hint="eastAsia" w:ascii="Times New Roman" w:hAnsi="Times New Roman" w:cs="Times New Roman"/>
          <w:b/>
          <w:bCs/>
          <w:i w:val="0"/>
          <w:color w:val="auto"/>
          <w:kern w:val="2"/>
          <w:sz w:val="24"/>
          <w:szCs w:val="24"/>
          <w:highlight w:val="none"/>
          <w:lang w:val="en-US" w:eastAsia="zh-CN" w:bidi="ar-SA"/>
        </w:rPr>
        <w:t>0.</w:t>
      </w:r>
      <w:r>
        <w:rPr>
          <w:rFonts w:hint="eastAsia" w:ascii="Times New Roman" w:hAnsi="Times New Roman" w:eastAsia="宋体" w:cs="Times New Roman"/>
          <w:b/>
          <w:bCs/>
          <w:i w:val="0"/>
          <w:color w:val="auto"/>
          <w:kern w:val="2"/>
          <w:sz w:val="24"/>
          <w:szCs w:val="24"/>
          <w:highlight w:val="none"/>
          <w:lang w:val="en-US" w:eastAsia="zh-CN" w:bidi="ar-SA"/>
        </w:rPr>
        <w:t xml:space="preserve">6 </w:t>
      </w:r>
      <w:r>
        <w:rPr>
          <w:rFonts w:hint="eastAsia" w:ascii="宋体" w:hAnsi="宋体" w:eastAsia="宋体" w:cs="宋体"/>
          <w:vanish w:val="0"/>
          <w:color w:val="auto"/>
          <w:sz w:val="24"/>
          <w:szCs w:val="24"/>
          <w:highlight w:val="none"/>
          <w:lang w:val="en-US" w:eastAsia="zh-CN"/>
        </w:rPr>
        <w:t xml:space="preserve"> 车辆应按停车约定标准进行规范停放。</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12.</w:t>
      </w:r>
      <w:r>
        <w:rPr>
          <w:rFonts w:hint="eastAsia" w:ascii="Times New Roman" w:hAnsi="Times New Roman" w:cs="Times New Roman"/>
          <w:b/>
          <w:bCs/>
          <w:i w:val="0"/>
          <w:color w:val="auto"/>
          <w:kern w:val="2"/>
          <w:sz w:val="24"/>
          <w:szCs w:val="24"/>
          <w:highlight w:val="none"/>
          <w:lang w:val="en-US" w:eastAsia="zh-CN" w:bidi="ar-SA"/>
        </w:rPr>
        <w:t>0.</w:t>
      </w:r>
      <w:r>
        <w:rPr>
          <w:rFonts w:hint="eastAsia" w:ascii="Times New Roman" w:hAnsi="Times New Roman" w:eastAsia="宋体" w:cs="Times New Roman"/>
          <w:b/>
          <w:bCs/>
          <w:i w:val="0"/>
          <w:color w:val="auto"/>
          <w:kern w:val="2"/>
          <w:sz w:val="24"/>
          <w:szCs w:val="24"/>
          <w:highlight w:val="none"/>
          <w:lang w:val="en-US" w:eastAsia="zh-CN" w:bidi="ar-SA"/>
        </w:rPr>
        <w:t>7</w:t>
      </w:r>
      <w:r>
        <w:rPr>
          <w:rFonts w:hint="eastAsia" w:ascii="宋体" w:hAnsi="宋体" w:eastAsia="宋体" w:cs="宋体"/>
          <w:vanish w:val="0"/>
          <w:color w:val="auto"/>
          <w:sz w:val="24"/>
          <w:szCs w:val="24"/>
          <w:highlight w:val="none"/>
          <w:lang w:val="en-US" w:eastAsia="zh-CN"/>
        </w:rPr>
        <w:t xml:space="preserve">  应定期（≥1次/月）对驾驶员的驾驶行为进行观察、开展交通安全教育和驾驶技能培训并做好记录；相关资料如培训方案，培训相片，考核记录，培训签到表等归档备查。</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12.</w:t>
      </w:r>
      <w:r>
        <w:rPr>
          <w:rFonts w:hint="eastAsia" w:ascii="Times New Roman" w:hAnsi="Times New Roman" w:cs="Times New Roman"/>
          <w:b/>
          <w:bCs/>
          <w:i w:val="0"/>
          <w:color w:val="auto"/>
          <w:kern w:val="2"/>
          <w:sz w:val="24"/>
          <w:szCs w:val="24"/>
          <w:highlight w:val="none"/>
          <w:lang w:val="en-US" w:eastAsia="zh-CN" w:bidi="ar-SA"/>
        </w:rPr>
        <w:t>0.</w:t>
      </w:r>
      <w:r>
        <w:rPr>
          <w:rFonts w:hint="eastAsia" w:ascii="Times New Roman" w:hAnsi="Times New Roman" w:eastAsia="宋体" w:cs="Times New Roman"/>
          <w:b/>
          <w:bCs/>
          <w:i w:val="0"/>
          <w:color w:val="auto"/>
          <w:kern w:val="2"/>
          <w:sz w:val="24"/>
          <w:szCs w:val="24"/>
          <w:highlight w:val="none"/>
          <w:lang w:val="en-US" w:eastAsia="zh-CN" w:bidi="ar-SA"/>
        </w:rPr>
        <w:t xml:space="preserve">8  </w:t>
      </w:r>
      <w:r>
        <w:rPr>
          <w:rFonts w:hint="eastAsia" w:ascii="宋体" w:hAnsi="宋体" w:eastAsia="宋体" w:cs="宋体"/>
          <w:vanish w:val="0"/>
          <w:color w:val="auto"/>
          <w:sz w:val="24"/>
          <w:szCs w:val="24"/>
          <w:highlight w:val="none"/>
          <w:lang w:val="en-US" w:eastAsia="zh-CN"/>
        </w:rPr>
        <w:t>应根据车辆保养手册要求，定期对车辆进行维护保养；每次出车前应对车辆车况进行检查并做好相应记录；如发现故障或隐患应马上安排维修工作。</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12.</w:t>
      </w:r>
      <w:r>
        <w:rPr>
          <w:rFonts w:hint="eastAsia" w:ascii="Times New Roman" w:hAnsi="Times New Roman" w:cs="Times New Roman"/>
          <w:b/>
          <w:bCs/>
          <w:i w:val="0"/>
          <w:color w:val="auto"/>
          <w:kern w:val="2"/>
          <w:sz w:val="24"/>
          <w:szCs w:val="24"/>
          <w:highlight w:val="none"/>
          <w:lang w:val="en-US" w:eastAsia="zh-CN" w:bidi="ar-SA"/>
        </w:rPr>
        <w:t>0.</w:t>
      </w:r>
      <w:r>
        <w:rPr>
          <w:rFonts w:hint="eastAsia" w:ascii="Times New Roman" w:hAnsi="Times New Roman" w:eastAsia="宋体" w:cs="Times New Roman"/>
          <w:b/>
          <w:bCs/>
          <w:i w:val="0"/>
          <w:color w:val="auto"/>
          <w:kern w:val="2"/>
          <w:sz w:val="24"/>
          <w:szCs w:val="24"/>
          <w:highlight w:val="none"/>
          <w:lang w:val="en-US" w:eastAsia="zh-CN" w:bidi="ar-SA"/>
        </w:rPr>
        <w:t xml:space="preserve">9 </w:t>
      </w:r>
      <w:r>
        <w:rPr>
          <w:rFonts w:hint="eastAsia" w:ascii="宋体" w:hAnsi="宋体" w:eastAsia="宋体" w:cs="宋体"/>
          <w:vanish w:val="0"/>
          <w:color w:val="auto"/>
          <w:sz w:val="24"/>
          <w:szCs w:val="24"/>
          <w:highlight w:val="none"/>
          <w:lang w:val="en-US" w:eastAsia="zh-CN"/>
        </w:rPr>
        <w:t xml:space="preserve"> 每年</w:t>
      </w:r>
      <w:r>
        <w:rPr>
          <w:rFonts w:hint="eastAsia" w:ascii="宋体" w:hAnsi="宋体" w:cs="宋体"/>
          <w:vanish w:val="0"/>
          <w:color w:val="auto"/>
          <w:sz w:val="24"/>
          <w:szCs w:val="24"/>
          <w:highlight w:val="none"/>
          <w:lang w:val="en-US" w:eastAsia="zh-CN"/>
        </w:rPr>
        <w:t>≥</w:t>
      </w:r>
      <w:r>
        <w:rPr>
          <w:rFonts w:hint="eastAsia" w:ascii="宋体" w:hAnsi="宋体" w:eastAsia="宋体" w:cs="宋体"/>
          <w:vanish w:val="0"/>
          <w:color w:val="auto"/>
          <w:sz w:val="24"/>
          <w:szCs w:val="24"/>
          <w:highlight w:val="none"/>
          <w:lang w:val="en-US" w:eastAsia="zh-CN"/>
        </w:rPr>
        <w:t>1次对经常行驶区域的道路开展全面、具体的风险评估，形成指导性的评估报告。</w:t>
      </w:r>
    </w:p>
    <w:p>
      <w:pPr>
        <w:pStyle w:val="2"/>
        <w:keepNext w:val="0"/>
        <w:keepLines w:val="0"/>
        <w:pageBreakBefore/>
        <w:spacing w:line="240" w:lineRule="auto"/>
        <w:jc w:val="center"/>
        <w:rPr>
          <w:rFonts w:hint="eastAsia" w:ascii="Times New Roman" w:hAnsi="Times New Roman" w:eastAsia="宋体" w:cs="Times New Roman"/>
          <w:sz w:val="30"/>
          <w:highlight w:val="none"/>
          <w:lang w:val="en-US" w:eastAsia="zh-CN"/>
        </w:rPr>
      </w:pPr>
      <w:bookmarkStart w:id="330" w:name="_Toc16188"/>
      <w:r>
        <w:rPr>
          <w:rFonts w:hint="eastAsia" w:ascii="Times New Roman" w:hAnsi="Times New Roman" w:eastAsia="宋体" w:cs="Times New Roman"/>
          <w:sz w:val="30"/>
          <w:highlight w:val="none"/>
          <w:lang w:val="en-US" w:eastAsia="zh-CN"/>
        </w:rPr>
        <w:t xml:space="preserve">13  </w:t>
      </w:r>
      <w:r>
        <w:rPr>
          <w:rFonts w:hint="eastAsia" w:ascii="Times New Roman" w:hAnsi="Times New Roman" w:eastAsia="宋体" w:cs="Times New Roman"/>
          <w:b w:val="0"/>
          <w:bCs w:val="0"/>
          <w:sz w:val="30"/>
          <w:highlight w:val="none"/>
          <w:lang w:val="en-US" w:eastAsia="zh-CN"/>
        </w:rPr>
        <w:t>环</w:t>
      </w:r>
      <w:r>
        <w:rPr>
          <w:rFonts w:hint="eastAsia" w:cs="Times New Roman"/>
          <w:b w:val="0"/>
          <w:bCs w:val="0"/>
          <w:sz w:val="30"/>
          <w:highlight w:val="none"/>
          <w:lang w:val="en-US" w:eastAsia="zh-CN"/>
        </w:rPr>
        <w:t xml:space="preserve">  </w:t>
      </w:r>
      <w:r>
        <w:rPr>
          <w:rFonts w:hint="eastAsia" w:ascii="Times New Roman" w:hAnsi="Times New Roman" w:eastAsia="宋体" w:cs="Times New Roman"/>
          <w:b w:val="0"/>
          <w:bCs w:val="0"/>
          <w:sz w:val="30"/>
          <w:highlight w:val="none"/>
          <w:lang w:val="en-US" w:eastAsia="zh-CN"/>
        </w:rPr>
        <w:t>境</w:t>
      </w:r>
      <w:r>
        <w:rPr>
          <w:rFonts w:hint="eastAsia" w:cs="Times New Roman"/>
          <w:b w:val="0"/>
          <w:bCs w:val="0"/>
          <w:sz w:val="30"/>
          <w:highlight w:val="none"/>
          <w:lang w:val="en-US" w:eastAsia="zh-CN"/>
        </w:rPr>
        <w:t xml:space="preserve">  </w:t>
      </w:r>
      <w:r>
        <w:rPr>
          <w:rFonts w:hint="eastAsia" w:ascii="Times New Roman" w:hAnsi="Times New Roman" w:eastAsia="宋体" w:cs="Times New Roman"/>
          <w:b w:val="0"/>
          <w:bCs w:val="0"/>
          <w:sz w:val="30"/>
          <w:highlight w:val="none"/>
          <w:lang w:val="en-US" w:eastAsia="zh-CN"/>
        </w:rPr>
        <w:t>管</w:t>
      </w:r>
      <w:r>
        <w:rPr>
          <w:rFonts w:hint="eastAsia" w:cs="Times New Roman"/>
          <w:b w:val="0"/>
          <w:bCs w:val="0"/>
          <w:sz w:val="30"/>
          <w:highlight w:val="none"/>
          <w:lang w:val="en-US" w:eastAsia="zh-CN"/>
        </w:rPr>
        <w:t xml:space="preserve">  </w:t>
      </w:r>
      <w:r>
        <w:rPr>
          <w:rFonts w:hint="eastAsia" w:ascii="Times New Roman" w:hAnsi="Times New Roman" w:eastAsia="宋体" w:cs="Times New Roman"/>
          <w:b w:val="0"/>
          <w:bCs w:val="0"/>
          <w:sz w:val="30"/>
          <w:highlight w:val="none"/>
          <w:lang w:val="en-US" w:eastAsia="zh-CN"/>
        </w:rPr>
        <w:t>理</w:t>
      </w:r>
      <w:bookmarkEnd w:id="330"/>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331" w:name="_Toc16687"/>
      <w:r>
        <w:rPr>
          <w:rFonts w:hint="eastAsia" w:ascii="宋体" w:hAnsi="宋体" w:eastAsia="宋体" w:cs="宋体"/>
          <w:b/>
          <w:bCs/>
          <w:color w:val="auto"/>
          <w:sz w:val="24"/>
          <w:szCs w:val="24"/>
          <w:highlight w:val="none"/>
          <w:lang w:val="en-US" w:eastAsia="zh-CN"/>
        </w:rPr>
        <w:t>13.1  带电设备附近工作要求</w:t>
      </w:r>
      <w:bookmarkEnd w:id="331"/>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13.1.1</w:t>
      </w:r>
      <w:r>
        <w:rPr>
          <w:rFonts w:hint="eastAsia" w:ascii="宋体" w:hAnsi="宋体" w:eastAsia="宋体" w:cs="宋体"/>
          <w:vanish w:val="0"/>
          <w:color w:val="auto"/>
          <w:sz w:val="24"/>
          <w:szCs w:val="24"/>
          <w:highlight w:val="none"/>
          <w:lang w:val="en-US" w:eastAsia="zh-CN"/>
        </w:rPr>
        <w:t xml:space="preserve">  在大风、大雨、大雾等特殊天气时，物业环境、绿化服务人员，禁止在禁止区附近域或在监管区域进行户外作业。</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13.1.2 </w:t>
      </w:r>
      <w:r>
        <w:rPr>
          <w:rFonts w:hint="eastAsia" w:ascii="宋体" w:hAnsi="宋体" w:eastAsia="宋体" w:cs="宋体"/>
          <w:vanish w:val="0"/>
          <w:color w:val="auto"/>
          <w:sz w:val="24"/>
          <w:szCs w:val="24"/>
          <w:highlight w:val="none"/>
          <w:lang w:val="en-US" w:eastAsia="zh-CN"/>
        </w:rPr>
        <w:t xml:space="preserve"> 在监管区域工作时，应获得电力企业管理部门批准的许可工作票，在工作前进行了安全技术交底和有专人监管的前提下，方可在指定作业范围内工作。</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13.1.3  </w:t>
      </w:r>
      <w:r>
        <w:rPr>
          <w:rFonts w:hint="eastAsia" w:ascii="宋体" w:hAnsi="宋体" w:eastAsia="宋体" w:cs="宋体"/>
          <w:vanish w:val="0"/>
          <w:color w:val="auto"/>
          <w:sz w:val="24"/>
          <w:szCs w:val="24"/>
          <w:highlight w:val="none"/>
          <w:lang w:val="en-US" w:eastAsia="zh-CN"/>
        </w:rPr>
        <w:t>在带电设施设备附近剪草、除草或保洁作业时，要有防止作业过程产生的垃圾飞扬的措施（如及时装入袋子），以防止大风吹入带电体上而引起事故。</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13.1.4  </w:t>
      </w:r>
      <w:r>
        <w:rPr>
          <w:rFonts w:hint="eastAsia" w:ascii="宋体" w:hAnsi="宋体" w:eastAsia="宋体" w:cs="宋体"/>
          <w:vanish w:val="0"/>
          <w:color w:val="auto"/>
          <w:sz w:val="24"/>
          <w:szCs w:val="24"/>
          <w:highlight w:val="none"/>
          <w:lang w:val="en-US" w:eastAsia="zh-CN"/>
        </w:rPr>
        <w:t>在带电设施设备附近工作时，应该使用经过安全许可的工具、设施设备，禁止使用过长的工具或设施设备等，避免造成人身或设备运行事故。</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yellow"/>
          <w:lang w:val="en-US" w:eastAsia="zh-CN"/>
        </w:rPr>
      </w:pPr>
      <w:bookmarkStart w:id="332" w:name="_Toc7508"/>
      <w:r>
        <w:rPr>
          <w:rFonts w:hint="eastAsia" w:ascii="宋体" w:hAnsi="宋体" w:eastAsia="宋体" w:cs="宋体"/>
          <w:b/>
          <w:bCs/>
          <w:color w:val="auto"/>
          <w:sz w:val="24"/>
          <w:szCs w:val="24"/>
          <w:highlight w:val="none"/>
          <w:lang w:val="en-US" w:eastAsia="zh-CN"/>
        </w:rPr>
        <w:t>13.2  保洁服务</w:t>
      </w:r>
      <w:bookmarkEnd w:id="332"/>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ascii="宋体" w:hAnsi="宋体" w:eastAsia="宋体" w:cs="宋体"/>
          <w:b/>
          <w:bCs/>
          <w:color w:val="auto"/>
          <w:sz w:val="24"/>
          <w:szCs w:val="24"/>
          <w:highlight w:val="none"/>
          <w:lang w:val="en-US" w:eastAsia="zh-CN"/>
        </w:rPr>
      </w:pPr>
      <w:bookmarkStart w:id="333" w:name="_Toc21273"/>
      <w:r>
        <w:rPr>
          <w:rFonts w:hint="eastAsia" w:ascii="宋体" w:hAnsi="宋体" w:eastAsia="宋体" w:cs="宋体"/>
          <w:b/>
          <w:bCs/>
          <w:color w:val="auto"/>
          <w:sz w:val="24"/>
          <w:szCs w:val="24"/>
          <w:highlight w:val="none"/>
          <w:lang w:val="en-US" w:eastAsia="zh-CN"/>
        </w:rPr>
        <w:t>Ⅰ  建筑物内外保洁</w:t>
      </w:r>
      <w:bookmarkEnd w:id="333"/>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13.2.1 </w:t>
      </w:r>
      <w:r>
        <w:rPr>
          <w:rFonts w:hint="eastAsia" w:ascii="宋体" w:hAnsi="宋体" w:eastAsia="宋体" w:cs="宋体"/>
          <w:vanish w:val="0"/>
          <w:color w:val="auto"/>
          <w:sz w:val="24"/>
          <w:szCs w:val="24"/>
          <w:highlight w:val="none"/>
          <w:lang w:val="en-US" w:eastAsia="zh-CN"/>
        </w:rPr>
        <w:t xml:space="preserve"> 应建立健全的保洁服务管理制度、保洁员岗位责任制度和制定年度保洁计划。</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13.2.2</w:t>
      </w:r>
      <w:r>
        <w:rPr>
          <w:rFonts w:hint="eastAsia" w:ascii="宋体" w:hAnsi="宋体" w:eastAsia="宋体" w:cs="宋体"/>
          <w:vanish w:val="0"/>
          <w:color w:val="auto"/>
          <w:sz w:val="24"/>
          <w:szCs w:val="24"/>
          <w:highlight w:val="none"/>
          <w:lang w:val="en-US" w:eastAsia="zh-CN"/>
        </w:rPr>
        <w:t xml:space="preserve">  公共区域应保持环境整洁、无异味。</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13.2.3 </w:t>
      </w:r>
      <w:r>
        <w:rPr>
          <w:rFonts w:hint="eastAsia" w:ascii="宋体" w:hAnsi="宋体" w:eastAsia="宋体" w:cs="宋体"/>
          <w:vanish w:val="0"/>
          <w:color w:val="auto"/>
          <w:sz w:val="24"/>
          <w:szCs w:val="24"/>
          <w:highlight w:val="none"/>
          <w:lang w:val="en-US" w:eastAsia="zh-CN"/>
        </w:rPr>
        <w:t xml:space="preserve"> 保洁工具和清洁剂应摆放到工具房，整齐有序。</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13.2.4</w:t>
      </w:r>
      <w:r>
        <w:rPr>
          <w:rFonts w:hint="eastAsia" w:ascii="宋体" w:hAnsi="宋体" w:eastAsia="宋体" w:cs="宋体"/>
          <w:vanish w:val="0"/>
          <w:color w:val="auto"/>
          <w:sz w:val="24"/>
          <w:szCs w:val="24"/>
          <w:highlight w:val="none"/>
          <w:lang w:val="en-US" w:eastAsia="zh-CN"/>
        </w:rPr>
        <w:t xml:space="preserve">  定期进行保洁专业技能、知识培训考核。</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13.2.5 </w:t>
      </w:r>
      <w:r>
        <w:rPr>
          <w:rFonts w:hint="eastAsia" w:ascii="宋体" w:hAnsi="宋体" w:eastAsia="宋体" w:cs="宋体"/>
          <w:vanish w:val="0"/>
          <w:color w:val="auto"/>
          <w:sz w:val="24"/>
          <w:szCs w:val="24"/>
          <w:highlight w:val="none"/>
          <w:lang w:val="en-US" w:eastAsia="zh-CN"/>
        </w:rPr>
        <w:t xml:space="preserve"> 高处作业现场应至少有2人以上，应按国家法规要求持证上岗，作业人员应采取必要的安全防护措施。</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13.2.6</w:t>
      </w:r>
      <w:r>
        <w:rPr>
          <w:rFonts w:hint="eastAsia" w:ascii="宋体" w:hAnsi="宋体" w:eastAsia="宋体" w:cs="宋体"/>
          <w:vanish w:val="0"/>
          <w:color w:val="auto"/>
          <w:sz w:val="24"/>
          <w:szCs w:val="24"/>
          <w:highlight w:val="none"/>
          <w:lang w:val="en-US" w:eastAsia="zh-CN"/>
        </w:rPr>
        <w:t xml:space="preserve">  水工区域作业按工作计划实施执行，对交通洞口、配电房及保安室四至范围</w:t>
      </w:r>
      <w:r>
        <w:rPr>
          <w:rFonts w:hint="eastAsia" w:ascii="宋体" w:hAnsi="宋体" w:cs="宋体"/>
          <w:vanish w:val="0"/>
          <w:color w:val="auto"/>
          <w:sz w:val="24"/>
          <w:szCs w:val="24"/>
          <w:highlight w:val="none"/>
          <w:lang w:val="en-US" w:eastAsia="zh-CN"/>
        </w:rPr>
        <w:t>≥</w:t>
      </w:r>
      <w:r>
        <w:rPr>
          <w:rFonts w:hint="eastAsia" w:ascii="宋体" w:hAnsi="宋体" w:eastAsia="宋体" w:cs="宋体"/>
          <w:vanish w:val="0"/>
          <w:color w:val="auto"/>
          <w:sz w:val="24"/>
          <w:szCs w:val="24"/>
          <w:highlight w:val="none"/>
          <w:lang w:val="en-US" w:eastAsia="zh-CN"/>
        </w:rPr>
        <w:t>1次/日的清扫，交通洞路面</w:t>
      </w:r>
      <w:r>
        <w:rPr>
          <w:rFonts w:hint="eastAsia" w:ascii="宋体" w:hAnsi="宋体" w:cs="宋体"/>
          <w:vanish w:val="0"/>
          <w:color w:val="auto"/>
          <w:sz w:val="24"/>
          <w:szCs w:val="24"/>
          <w:highlight w:val="none"/>
          <w:lang w:val="en-US" w:eastAsia="zh-CN"/>
        </w:rPr>
        <w:t>≥</w:t>
      </w:r>
      <w:r>
        <w:rPr>
          <w:rFonts w:hint="eastAsia" w:ascii="宋体" w:hAnsi="宋体" w:eastAsia="宋体" w:cs="宋体"/>
          <w:vanish w:val="0"/>
          <w:color w:val="auto"/>
          <w:sz w:val="24"/>
          <w:szCs w:val="24"/>
          <w:highlight w:val="none"/>
          <w:lang w:val="en-US" w:eastAsia="zh-CN"/>
        </w:rPr>
        <w:t>1次/季的清扫，岩梁、拱顶</w:t>
      </w:r>
      <w:r>
        <w:rPr>
          <w:rFonts w:hint="eastAsia" w:ascii="宋体" w:hAnsi="宋体" w:cs="宋体"/>
          <w:vanish w:val="0"/>
          <w:color w:val="auto"/>
          <w:sz w:val="24"/>
          <w:szCs w:val="24"/>
          <w:highlight w:val="none"/>
          <w:lang w:val="en-US" w:eastAsia="zh-CN"/>
        </w:rPr>
        <w:t>≥</w:t>
      </w:r>
      <w:r>
        <w:rPr>
          <w:rFonts w:hint="eastAsia" w:ascii="宋体" w:hAnsi="宋体" w:eastAsia="宋体" w:cs="宋体"/>
          <w:vanish w:val="0"/>
          <w:color w:val="auto"/>
          <w:sz w:val="24"/>
          <w:szCs w:val="24"/>
          <w:highlight w:val="none"/>
          <w:lang w:val="en-US" w:eastAsia="zh-CN"/>
        </w:rPr>
        <w:t>1次/半年的清扫，目视无垃圾、无杂物、无污垢。</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13.2.7 </w:t>
      </w:r>
      <w:r>
        <w:rPr>
          <w:rFonts w:hint="eastAsia" w:ascii="宋体" w:hAnsi="宋体" w:eastAsia="宋体" w:cs="宋体"/>
          <w:vanish w:val="0"/>
          <w:color w:val="auto"/>
          <w:sz w:val="24"/>
          <w:szCs w:val="24"/>
          <w:highlight w:val="none"/>
          <w:lang w:val="en-US" w:eastAsia="zh-CN"/>
        </w:rPr>
        <w:t xml:space="preserve"> 定期清理水工建筑物周边垃圾，石渣，枯枝烂叶等，保证水流通畅；保持水库清洁、美观。</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13.2.8</w:t>
      </w:r>
      <w:r>
        <w:rPr>
          <w:rFonts w:hint="eastAsia" w:ascii="宋体" w:hAnsi="宋体" w:eastAsia="宋体" w:cs="宋体"/>
          <w:vanish w:val="0"/>
          <w:color w:val="auto"/>
          <w:sz w:val="24"/>
          <w:szCs w:val="24"/>
          <w:highlight w:val="none"/>
          <w:lang w:val="en-US" w:eastAsia="zh-CN"/>
        </w:rPr>
        <w:t xml:space="preserve">  台风、暴雨等特殊天气来临前，提前做好加固大型绿植和修剪枯枝以及清理沟渠工作。</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13.2.9 </w:t>
      </w:r>
      <w:r>
        <w:rPr>
          <w:rFonts w:hint="eastAsia" w:ascii="宋体" w:hAnsi="宋体" w:eastAsia="宋体" w:cs="宋体"/>
          <w:vanish w:val="0"/>
          <w:color w:val="auto"/>
          <w:sz w:val="24"/>
          <w:szCs w:val="24"/>
          <w:highlight w:val="none"/>
          <w:lang w:val="en-US" w:eastAsia="zh-CN"/>
        </w:rPr>
        <w:t xml:space="preserve"> 建筑物内公共区域保洁：项目主要分类的建筑物内公共区域保洁服务标准见附录F</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13.2.10 </w:t>
      </w:r>
      <w:r>
        <w:rPr>
          <w:rFonts w:hint="eastAsia" w:ascii="宋体" w:hAnsi="宋体" w:eastAsia="宋体" w:cs="宋体"/>
          <w:vanish w:val="0"/>
          <w:color w:val="auto"/>
          <w:sz w:val="24"/>
          <w:szCs w:val="24"/>
          <w:highlight w:val="none"/>
          <w:lang w:val="en-US" w:eastAsia="zh-CN"/>
        </w:rPr>
        <w:t xml:space="preserve"> 建筑物外公共区域保洁：项目主要分类的建筑物外公共区域保洁服务标准见附录G</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ascii="宋体" w:hAnsi="宋体" w:eastAsia="宋体" w:cs="宋体"/>
          <w:b/>
          <w:bCs/>
          <w:color w:val="auto"/>
          <w:sz w:val="24"/>
          <w:szCs w:val="24"/>
          <w:highlight w:val="none"/>
          <w:lang w:val="en-US" w:eastAsia="zh-CN"/>
        </w:rPr>
      </w:pPr>
      <w:bookmarkStart w:id="334" w:name="_Toc17051"/>
      <w:r>
        <w:rPr>
          <w:rFonts w:hint="eastAsia" w:ascii="宋体" w:hAnsi="宋体" w:eastAsia="宋体" w:cs="宋体"/>
          <w:b/>
          <w:bCs/>
          <w:color w:val="auto"/>
          <w:sz w:val="24"/>
          <w:szCs w:val="24"/>
          <w:highlight w:val="none"/>
          <w:lang w:val="en-US" w:eastAsia="zh-CN"/>
        </w:rPr>
        <w:t>Ⅱ  垃圾清运</w:t>
      </w:r>
      <w:bookmarkEnd w:id="334"/>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13.2.</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宋体" w:hAnsi="宋体" w:eastAsia="宋体" w:cs="宋体"/>
          <w:vanish w:val="0"/>
          <w:color w:val="auto"/>
          <w:sz w:val="24"/>
          <w:szCs w:val="24"/>
          <w:highlight w:val="none"/>
          <w:lang w:val="en-US" w:eastAsia="zh-CN"/>
        </w:rPr>
        <w:t xml:space="preserve">  根据物业实际情况设置生活垃圾分类集中投放点、生活垃圾分类收集容器，按可回收垃圾、厨余垃圾、有害垃圾、其他垃圾应按属性进行分类处置。</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13.2.</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 xml:space="preserve">2 </w:t>
      </w:r>
      <w:r>
        <w:rPr>
          <w:rFonts w:hint="eastAsia" w:ascii="宋体" w:hAnsi="宋体" w:eastAsia="宋体" w:cs="宋体"/>
          <w:vanish w:val="0"/>
          <w:color w:val="auto"/>
          <w:sz w:val="24"/>
          <w:szCs w:val="24"/>
          <w:highlight w:val="none"/>
          <w:lang w:val="en-US" w:eastAsia="zh-CN"/>
        </w:rPr>
        <w:t xml:space="preserve"> 垃圾桶应做到日产日清，桶外周边无垃圾，保持清洁无异味。</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13.2.</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3</w:t>
      </w:r>
      <w:r>
        <w:rPr>
          <w:rFonts w:hint="eastAsia" w:ascii="宋体" w:hAnsi="宋体" w:eastAsia="宋体" w:cs="宋体"/>
          <w:vanish w:val="0"/>
          <w:color w:val="auto"/>
          <w:sz w:val="24"/>
          <w:szCs w:val="24"/>
          <w:highlight w:val="none"/>
          <w:lang w:val="en-US" w:eastAsia="zh-CN"/>
        </w:rPr>
        <w:t xml:space="preserve">  定时对垃圾分类收集容器、收集点、中转站进行清运、消杀、灭鼠、保洁；垃圾桶外观目视干净整洁、无破损。</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13.2.</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4</w:t>
      </w:r>
      <w:r>
        <w:rPr>
          <w:rFonts w:hint="eastAsia" w:ascii="宋体" w:hAnsi="宋体" w:eastAsia="宋体" w:cs="宋体"/>
          <w:vanish w:val="0"/>
          <w:color w:val="auto"/>
          <w:sz w:val="24"/>
          <w:szCs w:val="24"/>
          <w:highlight w:val="none"/>
          <w:lang w:val="en-US" w:eastAsia="zh-CN"/>
        </w:rPr>
        <w:t xml:space="preserve">  垃圾清运作业应做好有效遮挡及防护，防止二次污染，尽量避免客户出行高峰时段进行。</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13.2.</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 xml:space="preserve">5 </w:t>
      </w:r>
      <w:r>
        <w:rPr>
          <w:rFonts w:hint="eastAsia" w:ascii="宋体" w:hAnsi="宋体" w:eastAsia="宋体" w:cs="宋体"/>
          <w:vanish w:val="0"/>
          <w:color w:val="auto"/>
          <w:sz w:val="24"/>
          <w:szCs w:val="24"/>
          <w:highlight w:val="none"/>
          <w:lang w:val="en-US" w:eastAsia="zh-CN"/>
        </w:rPr>
        <w:t xml:space="preserve"> 应指定危险废弃物投放点，设置标识标牌，由专人负责清运，应选择具有资质证书的第三方机构进行处理。垃圾清运服务要求见表13.2.</w:t>
      </w:r>
      <w:r>
        <w:rPr>
          <w:rFonts w:hint="eastAsia" w:ascii="宋体" w:hAnsi="宋体" w:cs="宋体"/>
          <w:vanish w:val="0"/>
          <w:color w:val="auto"/>
          <w:sz w:val="24"/>
          <w:szCs w:val="24"/>
          <w:highlight w:val="none"/>
          <w:lang w:val="en-US" w:eastAsia="zh-CN"/>
        </w:rPr>
        <w:t>1</w:t>
      </w:r>
      <w:r>
        <w:rPr>
          <w:rFonts w:hint="eastAsia" w:ascii="宋体" w:hAnsi="宋体" w:eastAsia="宋体" w:cs="宋体"/>
          <w:vanish w:val="0"/>
          <w:color w:val="auto"/>
          <w:sz w:val="24"/>
          <w:szCs w:val="24"/>
          <w:highlight w:val="none"/>
          <w:lang w:val="en-US" w:eastAsia="zh-CN"/>
        </w:rPr>
        <w:t>5。</w:t>
      </w:r>
    </w:p>
    <w:p>
      <w:pPr>
        <w:pStyle w:val="6"/>
        <w:tabs>
          <w:tab w:val="left" w:pos="420"/>
        </w:tabs>
        <w:spacing w:before="312" w:beforeLines="100" w:after="0" w:line="240" w:lineRule="auto"/>
        <w:jc w:val="center"/>
        <w:rPr>
          <w:rFonts w:hint="eastAsia" w:ascii="Times New Roman" w:hAnsi="Times New Roman" w:eastAsia="黑体" w:cs="Times New Roman"/>
          <w:bCs w:val="0"/>
          <w:sz w:val="21"/>
          <w:szCs w:val="24"/>
          <w:highlight w:val="none"/>
          <w:lang w:val="en-US" w:eastAsia="zh-CN"/>
        </w:rPr>
      </w:pPr>
      <w:r>
        <w:rPr>
          <w:rFonts w:hint="eastAsia" w:ascii="Times New Roman" w:hAnsi="Times New Roman" w:eastAsia="黑体" w:cs="Times New Roman"/>
          <w:bCs w:val="0"/>
          <w:sz w:val="21"/>
          <w:szCs w:val="24"/>
          <w:highlight w:val="none"/>
          <w:lang w:val="en-US" w:eastAsia="zh-CN"/>
        </w:rPr>
        <w:t>表13.2.</w:t>
      </w:r>
      <w:r>
        <w:rPr>
          <w:rFonts w:hint="eastAsia" w:eastAsia="黑体" w:cs="Times New Roman"/>
          <w:bCs w:val="0"/>
          <w:sz w:val="21"/>
          <w:szCs w:val="24"/>
          <w:highlight w:val="none"/>
          <w:lang w:val="en-US" w:eastAsia="zh-CN"/>
        </w:rPr>
        <w:t>1</w:t>
      </w:r>
      <w:r>
        <w:rPr>
          <w:rFonts w:hint="eastAsia" w:ascii="Times New Roman" w:hAnsi="Times New Roman" w:eastAsia="黑体" w:cs="Times New Roman"/>
          <w:bCs w:val="0"/>
          <w:sz w:val="21"/>
          <w:szCs w:val="24"/>
          <w:highlight w:val="none"/>
          <w:lang w:val="en-US" w:eastAsia="zh-CN"/>
        </w:rPr>
        <w:t>5  项目主要分类服务标准—垃圾清运</w:t>
      </w:r>
    </w:p>
    <w:tbl>
      <w:tblPr>
        <w:tblStyle w:val="38"/>
        <w:tblW w:w="476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845"/>
        <w:gridCol w:w="974"/>
        <w:gridCol w:w="1538"/>
        <w:gridCol w:w="993"/>
        <w:gridCol w:w="1628"/>
        <w:gridCol w:w="11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60" w:type="dxa"/>
            <w:vMerge w:val="restart"/>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服务项目</w:t>
            </w:r>
          </w:p>
        </w:tc>
        <w:tc>
          <w:tcPr>
            <w:tcW w:w="2509" w:type="dxa"/>
            <w:gridSpan w:val="2"/>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电力调度大楼</w:t>
            </w:r>
          </w:p>
        </w:tc>
        <w:tc>
          <w:tcPr>
            <w:tcW w:w="2253" w:type="dxa"/>
            <w:gridSpan w:val="2"/>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发电厂</w:t>
            </w:r>
          </w:p>
        </w:tc>
        <w:tc>
          <w:tcPr>
            <w:tcW w:w="2496" w:type="dxa"/>
            <w:gridSpan w:val="2"/>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换流站、变电站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60" w:type="dxa"/>
            <w:vMerge w:val="continue"/>
            <w:tcBorders>
              <w:bottom w:val="single" w:color="000000" w:sz="12"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642" w:type="dxa"/>
            <w:tcBorders>
              <w:bottom w:val="single" w:color="000000" w:sz="12"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频次</w:t>
            </w:r>
          </w:p>
        </w:tc>
        <w:tc>
          <w:tcPr>
            <w:tcW w:w="867" w:type="dxa"/>
            <w:tcBorders>
              <w:bottom w:val="single" w:color="000000" w:sz="12"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服务标准</w:t>
            </w:r>
          </w:p>
        </w:tc>
        <w:tc>
          <w:tcPr>
            <w:tcW w:w="1369" w:type="dxa"/>
            <w:tcBorders>
              <w:bottom w:val="single" w:color="000000" w:sz="12"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频次</w:t>
            </w:r>
          </w:p>
        </w:tc>
        <w:tc>
          <w:tcPr>
            <w:tcW w:w="884" w:type="dxa"/>
            <w:tcBorders>
              <w:bottom w:val="single" w:color="000000" w:sz="12"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服务标准</w:t>
            </w:r>
          </w:p>
        </w:tc>
        <w:tc>
          <w:tcPr>
            <w:tcW w:w="1449" w:type="dxa"/>
            <w:tcBorders>
              <w:bottom w:val="single" w:color="000000" w:sz="12"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频次</w:t>
            </w:r>
          </w:p>
        </w:tc>
        <w:tc>
          <w:tcPr>
            <w:tcW w:w="1047" w:type="dxa"/>
            <w:tcBorders>
              <w:bottom w:val="single" w:color="000000" w:sz="12"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860" w:type="dxa"/>
            <w:tcBorders>
              <w:top w:val="single" w:color="000000" w:sz="12" w:space="0"/>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垃圾容器清洗、消毒</w:t>
            </w:r>
          </w:p>
        </w:tc>
        <w:tc>
          <w:tcPr>
            <w:tcW w:w="1642" w:type="dxa"/>
            <w:tcBorders>
              <w:top w:val="single" w:color="000000" w:sz="12" w:space="0"/>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清洗</w:t>
            </w: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2次/周、夏季清洗</w:t>
            </w: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1次/日，消毒</w:t>
            </w: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2次/月，夏季消毒</w:t>
            </w: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1次/周</w:t>
            </w:r>
          </w:p>
        </w:tc>
        <w:tc>
          <w:tcPr>
            <w:tcW w:w="867" w:type="dxa"/>
            <w:tcBorders>
              <w:top w:val="single" w:color="000000" w:sz="12" w:space="0"/>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无异味、无满溢</w:t>
            </w:r>
          </w:p>
        </w:tc>
        <w:tc>
          <w:tcPr>
            <w:tcW w:w="1369" w:type="dxa"/>
            <w:tcBorders>
              <w:top w:val="single" w:color="000000" w:sz="12" w:space="0"/>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清洗</w:t>
            </w: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2次/周、夏季清洗</w:t>
            </w: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1次/日，消毒</w:t>
            </w: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2次/月，夏季消毒</w:t>
            </w: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1次/周</w:t>
            </w:r>
          </w:p>
        </w:tc>
        <w:tc>
          <w:tcPr>
            <w:tcW w:w="884" w:type="dxa"/>
            <w:tcBorders>
              <w:top w:val="single" w:color="000000" w:sz="12" w:space="0"/>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无异味、无满溢</w:t>
            </w:r>
          </w:p>
        </w:tc>
        <w:tc>
          <w:tcPr>
            <w:tcW w:w="1449" w:type="dxa"/>
            <w:tcBorders>
              <w:top w:val="single" w:color="000000" w:sz="12" w:space="0"/>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清洗</w:t>
            </w: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2次/周、夏季清洗</w:t>
            </w: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1次/日，消毒</w:t>
            </w: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2次/月，夏季消毒</w:t>
            </w: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1次/周</w:t>
            </w:r>
          </w:p>
        </w:tc>
        <w:tc>
          <w:tcPr>
            <w:tcW w:w="1047" w:type="dxa"/>
            <w:tcBorders>
              <w:top w:val="single" w:color="000000" w:sz="12" w:space="0"/>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无异味、无满溢</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ascii="宋体" w:hAnsi="宋体" w:eastAsia="宋体" w:cs="宋体"/>
          <w:b/>
          <w:bCs/>
          <w:color w:val="auto"/>
          <w:sz w:val="24"/>
          <w:szCs w:val="24"/>
          <w:highlight w:val="none"/>
          <w:lang w:val="en-US" w:eastAsia="zh-CN"/>
        </w:rPr>
      </w:pPr>
      <w:bookmarkStart w:id="335" w:name="_Toc13138"/>
      <w:r>
        <w:rPr>
          <w:rFonts w:hint="eastAsia" w:ascii="宋体" w:hAnsi="宋体" w:eastAsia="宋体" w:cs="宋体"/>
          <w:b/>
          <w:bCs/>
          <w:color w:val="auto"/>
          <w:sz w:val="24"/>
          <w:szCs w:val="24"/>
          <w:highlight w:val="none"/>
          <w:lang w:val="en-US" w:eastAsia="zh-CN"/>
        </w:rPr>
        <w:t>Ⅲ  有害生物防治</w:t>
      </w:r>
      <w:bookmarkEnd w:id="335"/>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13.2.</w:t>
      </w:r>
      <w:r>
        <w:rPr>
          <w:rFonts w:hint="eastAsia" w:ascii="Times New Roman" w:hAnsi="Times New Roman" w:cs="Times New Roman"/>
          <w:b/>
          <w:bCs/>
          <w:i w:val="0"/>
          <w:color w:val="auto"/>
          <w:kern w:val="2"/>
          <w:sz w:val="24"/>
          <w:szCs w:val="24"/>
          <w:highlight w:val="none"/>
          <w:lang w:val="en-US" w:eastAsia="zh-CN" w:bidi="ar-SA"/>
        </w:rPr>
        <w:t>16</w:t>
      </w:r>
      <w:r>
        <w:rPr>
          <w:rFonts w:hint="eastAsia" w:ascii="宋体" w:hAnsi="宋体" w:eastAsia="宋体" w:cs="宋体"/>
          <w:vanish w:val="0"/>
          <w:color w:val="auto"/>
          <w:sz w:val="24"/>
          <w:szCs w:val="24"/>
          <w:highlight w:val="none"/>
          <w:lang w:val="en-US" w:eastAsia="zh-CN"/>
        </w:rPr>
        <w:t xml:space="preserve">  应制定有害生物防治计划，定期对有害生物巡检（如白蚁、红火蚁、马蜂、蛇、薇甘菊、凤眼莲等），做到早发现早处理。</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13.2.</w:t>
      </w:r>
      <w:r>
        <w:rPr>
          <w:rFonts w:hint="eastAsia" w:ascii="Times New Roman" w:hAnsi="Times New Roman" w:cs="Times New Roman"/>
          <w:b/>
          <w:bCs/>
          <w:i w:val="0"/>
          <w:color w:val="auto"/>
          <w:kern w:val="2"/>
          <w:sz w:val="24"/>
          <w:szCs w:val="24"/>
          <w:highlight w:val="none"/>
          <w:lang w:val="en-US" w:eastAsia="zh-CN" w:bidi="ar-SA"/>
        </w:rPr>
        <w:t>17</w:t>
      </w:r>
      <w:r>
        <w:rPr>
          <w:rFonts w:hint="eastAsia" w:ascii="Times New Roman" w:hAnsi="Times New Roman" w:eastAsia="宋体" w:cs="Times New Roman"/>
          <w:b/>
          <w:bCs/>
          <w:i w:val="0"/>
          <w:color w:val="auto"/>
          <w:kern w:val="2"/>
          <w:sz w:val="24"/>
          <w:szCs w:val="24"/>
          <w:highlight w:val="none"/>
          <w:lang w:val="en-US" w:eastAsia="zh-CN" w:bidi="ar-SA"/>
        </w:rPr>
        <w:t xml:space="preserve"> </w:t>
      </w:r>
      <w:r>
        <w:rPr>
          <w:rFonts w:hint="eastAsia" w:ascii="宋体" w:hAnsi="宋体" w:eastAsia="宋体" w:cs="宋体"/>
          <w:vanish w:val="0"/>
          <w:color w:val="auto"/>
          <w:sz w:val="24"/>
          <w:szCs w:val="24"/>
          <w:highlight w:val="none"/>
          <w:lang w:val="en-US" w:eastAsia="zh-CN"/>
        </w:rPr>
        <w:t xml:space="preserve"> 应与具有专业白蚁、红火蚁防治资质公司签订规范的服务合同，明确双方的权利、义务和责任。</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13.2.</w:t>
      </w:r>
      <w:r>
        <w:rPr>
          <w:rFonts w:hint="eastAsia" w:ascii="Times New Roman" w:hAnsi="Times New Roman" w:cs="Times New Roman"/>
          <w:b/>
          <w:bCs/>
          <w:i w:val="0"/>
          <w:color w:val="auto"/>
          <w:kern w:val="2"/>
          <w:sz w:val="24"/>
          <w:szCs w:val="24"/>
          <w:highlight w:val="none"/>
          <w:lang w:val="en-US" w:eastAsia="zh-CN" w:bidi="ar-SA"/>
        </w:rPr>
        <w:t>18</w:t>
      </w:r>
      <w:r>
        <w:rPr>
          <w:rFonts w:hint="eastAsia" w:ascii="宋体" w:hAnsi="宋体" w:eastAsia="宋体" w:cs="宋体"/>
          <w:vanish w:val="0"/>
          <w:color w:val="auto"/>
          <w:sz w:val="24"/>
          <w:szCs w:val="24"/>
          <w:highlight w:val="none"/>
          <w:lang w:val="en-US" w:eastAsia="zh-CN"/>
        </w:rPr>
        <w:t xml:space="preserve">  每月应进行</w:t>
      </w:r>
      <w:r>
        <w:rPr>
          <w:rFonts w:hint="eastAsia" w:ascii="宋体" w:hAnsi="宋体" w:cs="宋体"/>
          <w:vanish w:val="0"/>
          <w:color w:val="auto"/>
          <w:sz w:val="24"/>
          <w:szCs w:val="24"/>
          <w:highlight w:val="none"/>
          <w:lang w:val="en-US" w:eastAsia="zh-CN"/>
        </w:rPr>
        <w:t>≥</w:t>
      </w:r>
      <w:r>
        <w:rPr>
          <w:rFonts w:hint="eastAsia" w:ascii="宋体" w:hAnsi="宋体" w:eastAsia="宋体" w:cs="宋体"/>
          <w:vanish w:val="0"/>
          <w:color w:val="auto"/>
          <w:sz w:val="24"/>
          <w:szCs w:val="24"/>
          <w:highlight w:val="none"/>
          <w:lang w:val="en-US" w:eastAsia="zh-CN"/>
        </w:rPr>
        <w:t>1次除“四害”和消杀工作。在雨季和传染性疾病高发时期，应有针对性进行消毒工作。</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13.2.</w:t>
      </w:r>
      <w:r>
        <w:rPr>
          <w:rFonts w:hint="eastAsia" w:ascii="Times New Roman" w:hAnsi="Times New Roman" w:cs="Times New Roman"/>
          <w:b/>
          <w:bCs/>
          <w:i w:val="0"/>
          <w:color w:val="auto"/>
          <w:kern w:val="2"/>
          <w:sz w:val="24"/>
          <w:szCs w:val="24"/>
          <w:highlight w:val="none"/>
          <w:lang w:val="en-US" w:eastAsia="zh-CN" w:bidi="ar-SA"/>
        </w:rPr>
        <w:t>19</w:t>
      </w:r>
      <w:r>
        <w:rPr>
          <w:rFonts w:hint="eastAsia" w:ascii="Times New Roman" w:hAnsi="Times New Roman" w:eastAsia="宋体" w:cs="Times New Roman"/>
          <w:b/>
          <w:bCs/>
          <w:i w:val="0"/>
          <w:color w:val="auto"/>
          <w:kern w:val="2"/>
          <w:sz w:val="24"/>
          <w:szCs w:val="24"/>
          <w:highlight w:val="none"/>
          <w:lang w:val="en-US" w:eastAsia="zh-CN" w:bidi="ar-SA"/>
        </w:rPr>
        <w:t xml:space="preserve"> </w:t>
      </w:r>
      <w:r>
        <w:rPr>
          <w:rFonts w:hint="eastAsia" w:ascii="宋体" w:hAnsi="宋体" w:eastAsia="宋体" w:cs="宋体"/>
          <w:vanish w:val="0"/>
          <w:color w:val="auto"/>
          <w:sz w:val="24"/>
          <w:szCs w:val="24"/>
          <w:highlight w:val="none"/>
          <w:lang w:val="en-US" w:eastAsia="zh-CN"/>
        </w:rPr>
        <w:t xml:space="preserve"> 发现马蜂窝和蛇应及时报消防人员处理。</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13.2.</w:t>
      </w:r>
      <w:r>
        <w:rPr>
          <w:rFonts w:hint="eastAsia" w:ascii="Times New Roman" w:hAnsi="Times New Roman" w:cs="Times New Roman"/>
          <w:b/>
          <w:bCs/>
          <w:i w:val="0"/>
          <w:color w:val="auto"/>
          <w:kern w:val="2"/>
          <w:sz w:val="24"/>
          <w:szCs w:val="24"/>
          <w:highlight w:val="none"/>
          <w:lang w:val="en-US" w:eastAsia="zh-CN" w:bidi="ar-SA"/>
        </w:rPr>
        <w:t>20</w:t>
      </w:r>
      <w:r>
        <w:rPr>
          <w:rFonts w:hint="eastAsia" w:ascii="宋体" w:hAnsi="宋体" w:eastAsia="宋体" w:cs="宋体"/>
          <w:vanish w:val="0"/>
          <w:color w:val="auto"/>
          <w:sz w:val="24"/>
          <w:szCs w:val="24"/>
          <w:highlight w:val="none"/>
          <w:lang w:val="en-US" w:eastAsia="zh-CN"/>
        </w:rPr>
        <w:t xml:space="preserve">  应建立有害生物专项档案，对有害生物防治过程资料存档，包括计划、公告、操作记录、药品清单及工作照片。有害生物防治服务要求见表13.2.</w:t>
      </w:r>
      <w:r>
        <w:rPr>
          <w:rFonts w:hint="eastAsia" w:ascii="宋体" w:hAnsi="宋体" w:cs="宋体"/>
          <w:vanish w:val="0"/>
          <w:color w:val="auto"/>
          <w:sz w:val="24"/>
          <w:szCs w:val="24"/>
          <w:highlight w:val="none"/>
          <w:lang w:val="en-US" w:eastAsia="zh-CN"/>
        </w:rPr>
        <w:t>20</w:t>
      </w:r>
      <w:r>
        <w:rPr>
          <w:rFonts w:hint="eastAsia" w:ascii="宋体" w:hAnsi="宋体" w:eastAsia="宋体" w:cs="宋体"/>
          <w:vanish w:val="0"/>
          <w:color w:val="auto"/>
          <w:sz w:val="24"/>
          <w:szCs w:val="24"/>
          <w:highlight w:val="none"/>
          <w:lang w:val="en-US" w:eastAsia="zh-CN"/>
        </w:rPr>
        <w:t>。</w:t>
      </w:r>
    </w:p>
    <w:p>
      <w:pPr>
        <w:pStyle w:val="6"/>
        <w:tabs>
          <w:tab w:val="left" w:pos="420"/>
        </w:tabs>
        <w:spacing w:before="312" w:beforeLines="100" w:after="0" w:line="240" w:lineRule="auto"/>
        <w:jc w:val="center"/>
        <w:rPr>
          <w:rFonts w:hint="eastAsia" w:ascii="Times New Roman" w:hAnsi="Times New Roman" w:eastAsia="黑体" w:cs="Times New Roman"/>
          <w:bCs w:val="0"/>
          <w:sz w:val="21"/>
          <w:szCs w:val="24"/>
          <w:highlight w:val="none"/>
          <w:lang w:val="en-US" w:eastAsia="zh-CN"/>
        </w:rPr>
      </w:pPr>
      <w:r>
        <w:rPr>
          <w:rFonts w:hint="eastAsia" w:ascii="Times New Roman" w:hAnsi="Times New Roman" w:eastAsia="黑体" w:cs="Times New Roman"/>
          <w:bCs w:val="0"/>
          <w:sz w:val="21"/>
          <w:szCs w:val="24"/>
          <w:highlight w:val="none"/>
          <w:lang w:val="en-US" w:eastAsia="zh-CN"/>
        </w:rPr>
        <w:t>表13.2.</w:t>
      </w:r>
      <w:r>
        <w:rPr>
          <w:rFonts w:hint="eastAsia" w:eastAsia="黑体" w:cs="Times New Roman"/>
          <w:bCs w:val="0"/>
          <w:sz w:val="21"/>
          <w:szCs w:val="24"/>
          <w:highlight w:val="none"/>
          <w:lang w:val="en-US" w:eastAsia="zh-CN"/>
        </w:rPr>
        <w:t>20</w:t>
      </w:r>
      <w:r>
        <w:rPr>
          <w:rFonts w:hint="eastAsia" w:ascii="Times New Roman" w:hAnsi="Times New Roman" w:eastAsia="黑体" w:cs="Times New Roman"/>
          <w:bCs w:val="0"/>
          <w:sz w:val="21"/>
          <w:szCs w:val="24"/>
          <w:highlight w:val="none"/>
          <w:lang w:val="en-US" w:eastAsia="zh-CN"/>
        </w:rPr>
        <w:t xml:space="preserve">  项目主要分类服务标准—有害生物防治</w:t>
      </w:r>
    </w:p>
    <w:tbl>
      <w:tblPr>
        <w:tblStyle w:val="38"/>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1353"/>
        <w:gridCol w:w="1332"/>
        <w:gridCol w:w="1470"/>
        <w:gridCol w:w="1292"/>
        <w:gridCol w:w="1460"/>
        <w:gridCol w:w="14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8" w:type="dxa"/>
            <w:vMerge w:val="restart"/>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服务项目</w:t>
            </w:r>
          </w:p>
        </w:tc>
        <w:tc>
          <w:tcPr>
            <w:tcW w:w="2685" w:type="dxa"/>
            <w:gridSpan w:val="2"/>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电力调度大楼</w:t>
            </w:r>
          </w:p>
        </w:tc>
        <w:tc>
          <w:tcPr>
            <w:tcW w:w="2762" w:type="dxa"/>
            <w:gridSpan w:val="2"/>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发电厂</w:t>
            </w:r>
          </w:p>
        </w:tc>
        <w:tc>
          <w:tcPr>
            <w:tcW w:w="2890" w:type="dxa"/>
            <w:gridSpan w:val="2"/>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换流站、变电站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28" w:type="dxa"/>
            <w:vMerge w:val="continue"/>
            <w:tcBorders>
              <w:bottom w:val="single" w:color="000000" w:sz="12"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353" w:type="dxa"/>
            <w:tcBorders>
              <w:bottom w:val="single" w:color="000000" w:sz="12"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频次</w:t>
            </w:r>
          </w:p>
        </w:tc>
        <w:tc>
          <w:tcPr>
            <w:tcW w:w="1332" w:type="dxa"/>
            <w:tcBorders>
              <w:bottom w:val="single" w:color="000000" w:sz="12"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服务标准</w:t>
            </w:r>
          </w:p>
        </w:tc>
        <w:tc>
          <w:tcPr>
            <w:tcW w:w="1470" w:type="dxa"/>
            <w:tcBorders>
              <w:bottom w:val="single" w:color="000000" w:sz="12"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频次</w:t>
            </w:r>
          </w:p>
        </w:tc>
        <w:tc>
          <w:tcPr>
            <w:tcW w:w="1292" w:type="dxa"/>
            <w:tcBorders>
              <w:bottom w:val="single" w:color="000000" w:sz="12"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服务标准</w:t>
            </w:r>
          </w:p>
        </w:tc>
        <w:tc>
          <w:tcPr>
            <w:tcW w:w="1460" w:type="dxa"/>
            <w:tcBorders>
              <w:bottom w:val="single" w:color="000000" w:sz="12"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频次</w:t>
            </w:r>
          </w:p>
        </w:tc>
        <w:tc>
          <w:tcPr>
            <w:tcW w:w="1430" w:type="dxa"/>
            <w:tcBorders>
              <w:bottom w:val="single" w:color="000000" w:sz="12"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1228" w:type="dxa"/>
            <w:tcBorders>
              <w:top w:val="single" w:color="000000" w:sz="12"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有害生物防治</w:t>
            </w:r>
          </w:p>
        </w:tc>
        <w:tc>
          <w:tcPr>
            <w:tcW w:w="1353" w:type="dxa"/>
            <w:tcBorders>
              <w:top w:val="single" w:color="000000" w:sz="12"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5-10月，</w:t>
            </w: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次/月；其它月份</w:t>
            </w: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1次/</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月；雨季和传染性疾病高发时期消杀</w:t>
            </w: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1次/月</w:t>
            </w:r>
          </w:p>
        </w:tc>
        <w:tc>
          <w:tcPr>
            <w:tcW w:w="1332" w:type="dxa"/>
            <w:tcBorders>
              <w:top w:val="single" w:color="000000" w:sz="12"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目视无明显蚁害、蚁巢、鼠洞、蛇洞及蚊虫、蟑螂等</w:t>
            </w:r>
          </w:p>
        </w:tc>
        <w:tc>
          <w:tcPr>
            <w:tcW w:w="1470" w:type="dxa"/>
            <w:tcBorders>
              <w:top w:val="single" w:color="000000" w:sz="12"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4-11月，</w:t>
            </w: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次/月；其它月份</w:t>
            </w: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1次/</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月；雨季和传染性疾病高发时期消杀</w:t>
            </w: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1次/月</w:t>
            </w:r>
          </w:p>
        </w:tc>
        <w:tc>
          <w:tcPr>
            <w:tcW w:w="1292" w:type="dxa"/>
            <w:tcBorders>
              <w:top w:val="single" w:color="000000" w:sz="12"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目视无明显蚁害、蚁巢、鼠洞、蛇洞及蚊虫、蟑螂等</w:t>
            </w:r>
          </w:p>
        </w:tc>
        <w:tc>
          <w:tcPr>
            <w:tcW w:w="1460" w:type="dxa"/>
            <w:tcBorders>
              <w:top w:val="single" w:color="000000" w:sz="12"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4-11月，</w:t>
            </w: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次/月；其它月份</w:t>
            </w: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1次/</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月；雨季和传染性疾病高发时期消杀</w:t>
            </w: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1次/月</w:t>
            </w:r>
          </w:p>
        </w:tc>
        <w:tc>
          <w:tcPr>
            <w:tcW w:w="1430" w:type="dxa"/>
            <w:tcBorders>
              <w:top w:val="single" w:color="000000" w:sz="12"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目视无明显蚁害、蚁巢、鼠洞、蛇洞及蚊虫、蟑螂等</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ascii="宋体" w:hAnsi="宋体" w:eastAsia="宋体" w:cs="宋体"/>
          <w:b/>
          <w:bCs/>
          <w:color w:val="auto"/>
          <w:sz w:val="24"/>
          <w:szCs w:val="24"/>
          <w:highlight w:val="none"/>
          <w:lang w:val="en-US" w:eastAsia="zh-CN"/>
        </w:rPr>
      </w:pPr>
      <w:bookmarkStart w:id="336" w:name="_Toc3684"/>
      <w:r>
        <w:rPr>
          <w:rFonts w:hint="eastAsia" w:ascii="宋体" w:hAnsi="宋体" w:eastAsia="宋体" w:cs="宋体"/>
          <w:b/>
          <w:bCs/>
          <w:color w:val="auto"/>
          <w:sz w:val="24"/>
          <w:szCs w:val="24"/>
          <w:highlight w:val="none"/>
          <w:lang w:val="en-US" w:eastAsia="zh-CN"/>
        </w:rPr>
        <w:t>Ⅳ  环境健康管控（含控烟管理）</w:t>
      </w:r>
      <w:bookmarkEnd w:id="336"/>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13.2.</w:t>
      </w:r>
      <w:r>
        <w:rPr>
          <w:rFonts w:hint="eastAsia" w:ascii="Times New Roman" w:hAnsi="Times New Roman" w:cs="Times New Roman"/>
          <w:b/>
          <w:bCs/>
          <w:i w:val="0"/>
          <w:color w:val="auto"/>
          <w:kern w:val="2"/>
          <w:sz w:val="24"/>
          <w:szCs w:val="24"/>
          <w:highlight w:val="none"/>
          <w:lang w:val="en-US" w:eastAsia="zh-CN" w:bidi="ar-SA"/>
        </w:rPr>
        <w:t>2</w:t>
      </w:r>
      <w:r>
        <w:rPr>
          <w:rFonts w:hint="eastAsia" w:ascii="Times New Roman" w:hAnsi="Times New Roman" w:eastAsia="宋体" w:cs="Times New Roman"/>
          <w:b/>
          <w:bCs/>
          <w:i w:val="0"/>
          <w:color w:val="auto"/>
          <w:kern w:val="2"/>
          <w:sz w:val="24"/>
          <w:szCs w:val="24"/>
          <w:highlight w:val="none"/>
          <w:lang w:val="en-US" w:eastAsia="zh-CN" w:bidi="ar-SA"/>
        </w:rPr>
        <w:t xml:space="preserve">1 </w:t>
      </w:r>
      <w:r>
        <w:rPr>
          <w:rFonts w:hint="eastAsia" w:ascii="宋体" w:hAnsi="宋体" w:eastAsia="宋体" w:cs="宋体"/>
          <w:vanish w:val="0"/>
          <w:color w:val="auto"/>
          <w:sz w:val="24"/>
          <w:szCs w:val="24"/>
          <w:highlight w:val="none"/>
          <w:lang w:val="en-US" w:eastAsia="zh-CN"/>
        </w:rPr>
        <w:t xml:space="preserve"> 室内公共区域应在显眼位置设置禁止吸烟标识标牌，室外吸烟点应</w:t>
      </w:r>
      <w:r>
        <w:rPr>
          <w:rFonts w:hint="eastAsia" w:ascii="宋体" w:hAnsi="宋体" w:cs="宋体"/>
          <w:vanish w:val="0"/>
          <w:color w:val="auto"/>
          <w:sz w:val="24"/>
          <w:szCs w:val="24"/>
          <w:highlight w:val="none"/>
          <w:lang w:val="en-US" w:eastAsia="zh-CN"/>
        </w:rPr>
        <w:t>按</w:t>
      </w:r>
      <w:r>
        <w:rPr>
          <w:rFonts w:hint="eastAsia" w:ascii="宋体" w:hAnsi="宋体" w:eastAsia="宋体" w:cs="宋体"/>
          <w:vanish w:val="0"/>
          <w:color w:val="auto"/>
          <w:sz w:val="24"/>
          <w:szCs w:val="24"/>
          <w:highlight w:val="none"/>
          <w:lang w:val="en-US" w:eastAsia="zh-CN"/>
        </w:rPr>
        <w:t>相关法规要求设置管理，定期做好禁止吸烟的教育宣传工作。</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13.2.</w:t>
      </w:r>
      <w:r>
        <w:rPr>
          <w:rFonts w:hint="eastAsia" w:ascii="Times New Roman" w:hAnsi="Times New Roman" w:cs="Times New Roman"/>
          <w:b/>
          <w:bCs/>
          <w:i w:val="0"/>
          <w:color w:val="auto"/>
          <w:kern w:val="2"/>
          <w:sz w:val="24"/>
          <w:szCs w:val="24"/>
          <w:highlight w:val="none"/>
          <w:lang w:val="en-US" w:eastAsia="zh-CN" w:bidi="ar-SA"/>
        </w:rPr>
        <w:t>2</w:t>
      </w:r>
      <w:r>
        <w:rPr>
          <w:rFonts w:hint="eastAsia" w:ascii="Times New Roman" w:hAnsi="Times New Roman" w:eastAsia="宋体" w:cs="Times New Roman"/>
          <w:b/>
          <w:bCs/>
          <w:i w:val="0"/>
          <w:color w:val="auto"/>
          <w:kern w:val="2"/>
          <w:sz w:val="24"/>
          <w:szCs w:val="24"/>
          <w:highlight w:val="none"/>
          <w:lang w:val="en-US" w:eastAsia="zh-CN" w:bidi="ar-SA"/>
        </w:rPr>
        <w:t>2</w:t>
      </w:r>
      <w:r>
        <w:rPr>
          <w:rFonts w:hint="eastAsia" w:ascii="宋体" w:hAnsi="宋体" w:eastAsia="宋体" w:cs="宋体"/>
          <w:vanish w:val="0"/>
          <w:color w:val="auto"/>
          <w:sz w:val="24"/>
          <w:szCs w:val="24"/>
          <w:highlight w:val="none"/>
          <w:lang w:val="en-US" w:eastAsia="zh-CN"/>
        </w:rPr>
        <w:t xml:space="preserve">  宜建立噪声管理制度，</w:t>
      </w:r>
      <w:r>
        <w:rPr>
          <w:rFonts w:hint="eastAsia" w:ascii="宋体" w:hAnsi="宋体" w:cs="宋体"/>
          <w:vanish w:val="0"/>
          <w:color w:val="auto"/>
          <w:sz w:val="24"/>
          <w:szCs w:val="24"/>
          <w:highlight w:val="none"/>
          <w:lang w:val="en-US" w:eastAsia="zh-CN"/>
        </w:rPr>
        <w:t>应符合</w:t>
      </w:r>
      <w:r>
        <w:rPr>
          <w:rFonts w:hint="eastAsia" w:ascii="宋体" w:hAnsi="宋体" w:eastAsia="宋体" w:cs="宋体"/>
          <w:vanish w:val="0"/>
          <w:color w:val="auto"/>
          <w:sz w:val="24"/>
          <w:szCs w:val="24"/>
          <w:highlight w:val="none"/>
          <w:lang w:val="en-US" w:eastAsia="zh-CN"/>
        </w:rPr>
        <w:t>现</w:t>
      </w:r>
      <w:r>
        <w:rPr>
          <w:rFonts w:hint="eastAsia" w:ascii="宋体" w:hAnsi="宋体" w:cs="宋体"/>
          <w:vanish w:val="0"/>
          <w:color w:val="auto"/>
          <w:sz w:val="24"/>
          <w:szCs w:val="24"/>
          <w:highlight w:val="none"/>
          <w:lang w:val="en-US" w:eastAsia="zh-CN"/>
        </w:rPr>
        <w:t>行</w:t>
      </w:r>
      <w:r>
        <w:rPr>
          <w:rFonts w:hint="eastAsia" w:ascii="宋体" w:hAnsi="宋体" w:eastAsia="宋体" w:cs="宋体"/>
          <w:vanish w:val="0"/>
          <w:color w:val="auto"/>
          <w:sz w:val="24"/>
          <w:szCs w:val="24"/>
          <w:highlight w:val="none"/>
          <w:lang w:val="en-US" w:eastAsia="zh-CN"/>
        </w:rPr>
        <w:t>国家标准《声环境质量标准》GB 3096的</w:t>
      </w:r>
      <w:r>
        <w:rPr>
          <w:rFonts w:hint="eastAsia" w:ascii="宋体" w:hAnsi="宋体" w:cs="宋体"/>
          <w:vanish w:val="0"/>
          <w:color w:val="auto"/>
          <w:sz w:val="24"/>
          <w:szCs w:val="24"/>
          <w:highlight w:val="none"/>
          <w:lang w:val="en-US" w:eastAsia="zh-CN"/>
        </w:rPr>
        <w:t>相关</w:t>
      </w:r>
      <w:r>
        <w:rPr>
          <w:rFonts w:hint="eastAsia" w:ascii="宋体" w:hAnsi="宋体" w:eastAsia="宋体" w:cs="宋体"/>
          <w:vanish w:val="0"/>
          <w:color w:val="auto"/>
          <w:sz w:val="24"/>
          <w:szCs w:val="24"/>
          <w:highlight w:val="none"/>
          <w:lang w:val="en-US" w:eastAsia="zh-CN"/>
        </w:rPr>
        <w:t>规定，采取有效降噪措施。</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13.2.</w:t>
      </w:r>
      <w:r>
        <w:rPr>
          <w:rFonts w:hint="eastAsia" w:ascii="Times New Roman" w:hAnsi="Times New Roman" w:cs="Times New Roman"/>
          <w:b/>
          <w:bCs/>
          <w:i w:val="0"/>
          <w:color w:val="auto"/>
          <w:kern w:val="2"/>
          <w:sz w:val="24"/>
          <w:szCs w:val="24"/>
          <w:highlight w:val="none"/>
          <w:lang w:val="en-US" w:eastAsia="zh-CN" w:bidi="ar-SA"/>
        </w:rPr>
        <w:t>2</w:t>
      </w:r>
      <w:r>
        <w:rPr>
          <w:rFonts w:hint="eastAsia" w:ascii="Times New Roman" w:hAnsi="Times New Roman" w:eastAsia="宋体" w:cs="Times New Roman"/>
          <w:b/>
          <w:bCs/>
          <w:i w:val="0"/>
          <w:color w:val="auto"/>
          <w:kern w:val="2"/>
          <w:sz w:val="24"/>
          <w:szCs w:val="24"/>
          <w:highlight w:val="none"/>
          <w:lang w:val="en-US" w:eastAsia="zh-CN" w:bidi="ar-SA"/>
        </w:rPr>
        <w:t>3</w:t>
      </w:r>
      <w:r>
        <w:rPr>
          <w:rFonts w:hint="eastAsia" w:ascii="宋体" w:hAnsi="宋体" w:eastAsia="宋体" w:cs="宋体"/>
          <w:vanish w:val="0"/>
          <w:color w:val="auto"/>
          <w:sz w:val="24"/>
          <w:szCs w:val="24"/>
          <w:highlight w:val="none"/>
          <w:lang w:val="en-US" w:eastAsia="zh-CN"/>
        </w:rPr>
        <w:t xml:space="preserve">  为防止对行人产生影响，空调排热与排风应取高位排措施；并对废气定期进行检测，发现问题就及时处理。</w:t>
      </w:r>
      <w:bookmarkStart w:id="337" w:name="_Toc12781"/>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338" w:name="_Toc29885"/>
      <w:r>
        <w:rPr>
          <w:rFonts w:hint="eastAsia" w:ascii="宋体" w:hAnsi="宋体" w:eastAsia="宋体" w:cs="宋体"/>
          <w:b/>
          <w:bCs/>
          <w:color w:val="auto"/>
          <w:sz w:val="24"/>
          <w:szCs w:val="24"/>
          <w:highlight w:val="none"/>
          <w:lang w:val="en-US" w:eastAsia="zh-CN"/>
        </w:rPr>
        <w:t>13.3  绿化养护</w:t>
      </w:r>
      <w:bookmarkEnd w:id="337"/>
      <w:bookmarkEnd w:id="338"/>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13.3.1</w:t>
      </w:r>
      <w:r>
        <w:rPr>
          <w:rFonts w:hint="eastAsia" w:ascii="宋体" w:hAnsi="宋体" w:eastAsia="宋体" w:cs="宋体"/>
          <w:vanish w:val="0"/>
          <w:color w:val="auto"/>
          <w:sz w:val="24"/>
          <w:szCs w:val="24"/>
          <w:highlight w:val="none"/>
          <w:lang w:val="en-US" w:eastAsia="zh-CN"/>
        </w:rPr>
        <w:t xml:space="preserve">  建立健全绿化服务管理制度、绿化管养方案和安全操作规范。建立绿植台帐，做好日常管理工作记录并存档。</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13.3.2</w:t>
      </w:r>
      <w:r>
        <w:rPr>
          <w:rFonts w:hint="eastAsia" w:ascii="宋体" w:hAnsi="宋体" w:eastAsia="宋体" w:cs="宋体"/>
          <w:vanish w:val="0"/>
          <w:color w:val="auto"/>
          <w:sz w:val="24"/>
          <w:szCs w:val="24"/>
          <w:highlight w:val="none"/>
          <w:lang w:val="en-US" w:eastAsia="zh-CN"/>
        </w:rPr>
        <w:t xml:space="preserve">  绿化养护应结合物业实际需要，根据植物类别及生长特点制定养护计划，配备专业绿化养护人员进行分类养护。</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13.3.3</w:t>
      </w:r>
      <w:r>
        <w:rPr>
          <w:rFonts w:hint="eastAsia" w:ascii="宋体" w:hAnsi="宋体" w:eastAsia="宋体" w:cs="宋体"/>
          <w:vanish w:val="0"/>
          <w:color w:val="auto"/>
          <w:sz w:val="24"/>
          <w:szCs w:val="24"/>
          <w:highlight w:val="none"/>
          <w:lang w:val="en-US" w:eastAsia="zh-CN"/>
        </w:rPr>
        <w:t xml:space="preserve">  根据季节要求，对乔木、灌木、花卉、草坪、地被植物等进行定期养护、修剪、及时补种，防治病虫害。确保绿植美观整齐，生长良好，无折损现象，无</w:t>
      </w:r>
      <w:r>
        <w:rPr>
          <w:rFonts w:hint="eastAsia" w:ascii="宋体" w:hAnsi="宋体" w:cs="宋体"/>
          <w:vanish w:val="0"/>
          <w:color w:val="auto"/>
          <w:sz w:val="24"/>
          <w:szCs w:val="24"/>
          <w:highlight w:val="none"/>
          <w:lang w:val="en-US" w:eastAsia="zh-CN"/>
        </w:rPr>
        <w:t>斑</w:t>
      </w:r>
      <w:bookmarkStart w:id="398" w:name="_GoBack"/>
      <w:bookmarkEnd w:id="398"/>
      <w:r>
        <w:rPr>
          <w:rFonts w:hint="eastAsia" w:ascii="宋体" w:hAnsi="宋体" w:eastAsia="宋体" w:cs="宋体"/>
          <w:vanish w:val="0"/>
          <w:color w:val="auto"/>
          <w:sz w:val="24"/>
          <w:szCs w:val="24"/>
          <w:highlight w:val="none"/>
          <w:lang w:val="en-US" w:eastAsia="zh-CN"/>
        </w:rPr>
        <w:t>秃，无虫害症状，无灼伤等现象。</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 xml:space="preserve">13.3.4 </w:t>
      </w:r>
      <w:r>
        <w:rPr>
          <w:rFonts w:hint="eastAsia" w:ascii="宋体" w:hAnsi="宋体" w:eastAsia="宋体" w:cs="宋体"/>
          <w:vanish w:val="0"/>
          <w:color w:val="auto"/>
          <w:sz w:val="24"/>
          <w:szCs w:val="24"/>
          <w:highlight w:val="none"/>
          <w:lang w:val="en-US" w:eastAsia="zh-CN"/>
        </w:rPr>
        <w:t xml:space="preserve"> 应制定绿化养护肥料、农药等安全管理规范和养护设备使用、操作规范；使用肥料、农药的产品应符合环保要求。</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13.3.5</w:t>
      </w:r>
      <w:r>
        <w:rPr>
          <w:rFonts w:hint="eastAsia" w:ascii="宋体" w:hAnsi="宋体" w:eastAsia="宋体" w:cs="宋体"/>
          <w:vanish w:val="0"/>
          <w:color w:val="auto"/>
          <w:sz w:val="24"/>
          <w:szCs w:val="24"/>
          <w:highlight w:val="none"/>
          <w:lang w:val="en-US" w:eastAsia="zh-CN"/>
        </w:rPr>
        <w:t xml:space="preserve">  绿植租摆应根据绿植租摆工作计划进行养护，应包含但不限于以下内容：</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vanish w:val="0"/>
          <w:color w:val="auto"/>
          <w:sz w:val="24"/>
          <w:szCs w:val="24"/>
          <w:highlight w:val="none"/>
          <w:lang w:val="en-US" w:eastAsia="zh-CN"/>
        </w:rPr>
      </w:pPr>
      <w:bookmarkStart w:id="339" w:name="_Toc31882"/>
      <w:bookmarkStart w:id="340" w:name="_Toc6444"/>
      <w:bookmarkStart w:id="341" w:name="_Toc14285"/>
      <w:r>
        <w:rPr>
          <w:rFonts w:hint="eastAsia" w:ascii="宋体" w:hAnsi="宋体" w:cs="宋体"/>
          <w:vanish w:val="0"/>
          <w:color w:val="auto"/>
          <w:sz w:val="24"/>
          <w:szCs w:val="24"/>
          <w:highlight w:val="none"/>
          <w:lang w:val="en-US" w:eastAsia="zh-CN"/>
        </w:rPr>
        <w:t xml:space="preserve">1  </w:t>
      </w:r>
      <w:r>
        <w:rPr>
          <w:rFonts w:hint="eastAsia" w:ascii="宋体" w:hAnsi="宋体" w:eastAsia="宋体" w:cs="宋体"/>
          <w:vanish w:val="0"/>
          <w:color w:val="auto"/>
          <w:sz w:val="24"/>
          <w:szCs w:val="24"/>
          <w:highlight w:val="none"/>
          <w:lang w:val="en-US" w:eastAsia="zh-CN"/>
        </w:rPr>
        <w:t>应根据现场定位选择合适的盆景植物、花艺进行摆放</w:t>
      </w:r>
      <w:bookmarkEnd w:id="339"/>
      <w:bookmarkEnd w:id="340"/>
      <w:bookmarkEnd w:id="341"/>
      <w:r>
        <w:rPr>
          <w:rFonts w:hint="eastAsia" w:ascii="宋体" w:hAnsi="宋体" w:eastAsia="宋体" w:cs="宋体"/>
          <w:vanish w:val="0"/>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bookmarkStart w:id="342" w:name="_Toc26684"/>
      <w:bookmarkStart w:id="343" w:name="_Toc2121"/>
      <w:bookmarkStart w:id="344" w:name="_Toc2726"/>
      <w:r>
        <w:rPr>
          <w:rFonts w:hint="eastAsia" w:ascii="宋体" w:hAnsi="宋体" w:cs="宋体"/>
          <w:vanish w:val="0"/>
          <w:color w:val="auto"/>
          <w:sz w:val="24"/>
          <w:szCs w:val="24"/>
          <w:highlight w:val="none"/>
          <w:lang w:val="en-US" w:eastAsia="zh-CN"/>
        </w:rPr>
        <w:t xml:space="preserve">2  </w:t>
      </w:r>
      <w:r>
        <w:rPr>
          <w:rFonts w:hint="eastAsia" w:ascii="宋体" w:hAnsi="宋体" w:eastAsia="宋体" w:cs="宋体"/>
          <w:vanish w:val="0"/>
          <w:color w:val="auto"/>
          <w:sz w:val="24"/>
          <w:szCs w:val="24"/>
          <w:highlight w:val="none"/>
          <w:lang w:val="en-US" w:eastAsia="zh-CN"/>
        </w:rPr>
        <w:t>绿植应保持造型优美，长势良好</w:t>
      </w:r>
      <w:bookmarkEnd w:id="342"/>
      <w:bookmarkEnd w:id="343"/>
      <w:bookmarkEnd w:id="344"/>
      <w:bookmarkStart w:id="345" w:name="_Toc30004"/>
      <w:bookmarkStart w:id="346" w:name="_Toc2807"/>
      <w:bookmarkStart w:id="347" w:name="_Toc13971"/>
      <w:r>
        <w:rPr>
          <w:rFonts w:hint="eastAsia" w:ascii="宋体" w:hAnsi="宋体" w:eastAsia="宋体" w:cs="宋体"/>
          <w:vanish w:val="0"/>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vanish w:val="0"/>
          <w:color w:val="auto"/>
          <w:sz w:val="24"/>
          <w:szCs w:val="24"/>
          <w:highlight w:val="none"/>
          <w:lang w:val="en-US" w:eastAsia="zh-CN"/>
        </w:rPr>
      </w:pPr>
      <w:r>
        <w:rPr>
          <w:rFonts w:hint="eastAsia" w:ascii="宋体" w:hAnsi="宋体" w:cs="宋体"/>
          <w:vanish w:val="0"/>
          <w:color w:val="auto"/>
          <w:sz w:val="24"/>
          <w:szCs w:val="24"/>
          <w:highlight w:val="none"/>
          <w:lang w:val="en-US" w:eastAsia="zh-CN"/>
        </w:rPr>
        <w:t xml:space="preserve">3  </w:t>
      </w:r>
      <w:r>
        <w:rPr>
          <w:rFonts w:hint="eastAsia" w:ascii="宋体" w:hAnsi="宋体" w:eastAsia="宋体" w:cs="宋体"/>
          <w:vanish w:val="0"/>
          <w:color w:val="auto"/>
          <w:sz w:val="24"/>
          <w:szCs w:val="24"/>
          <w:highlight w:val="none"/>
          <w:lang w:val="en-US" w:eastAsia="zh-CN"/>
        </w:rPr>
        <w:t>植物铭牌、花盆、支架等绿化设施应定期维护保洁，确保整洁完好。</w:t>
      </w:r>
      <w:bookmarkEnd w:id="345"/>
      <w:bookmarkEnd w:id="346"/>
      <w:bookmarkEnd w:id="347"/>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13.3.6</w:t>
      </w:r>
      <w:r>
        <w:rPr>
          <w:rFonts w:hint="eastAsia" w:ascii="宋体" w:hAnsi="宋体" w:eastAsia="宋体" w:cs="宋体"/>
          <w:vanish w:val="0"/>
          <w:color w:val="auto"/>
          <w:sz w:val="24"/>
          <w:szCs w:val="24"/>
          <w:highlight w:val="none"/>
          <w:lang w:val="en-US" w:eastAsia="zh-CN"/>
        </w:rPr>
        <w:t xml:space="preserve">  绿化管养作业会出现较大噪声时应避开办公区内物业使用人工作时间和作息时间。</w:t>
      </w:r>
    </w:p>
    <w:p>
      <w:pPr>
        <w:keepNext w:val="0"/>
        <w:keepLines w:val="0"/>
        <w:pageBreakBefore w:val="0"/>
        <w:widowControl/>
        <w:kinsoku/>
        <w:wordWrap/>
        <w:overflowPunct/>
        <w:topLinePunct w:val="0"/>
        <w:autoSpaceDE/>
        <w:autoSpaceDN/>
        <w:bidi w:val="0"/>
        <w:adjustRightInd/>
        <w:snapToGrid w:val="0"/>
        <w:spacing w:line="360" w:lineRule="auto"/>
        <w:textAlignment w:val="auto"/>
        <w:outlineLvl w:val="2"/>
        <w:rPr>
          <w:rFonts w:hint="eastAsia" w:ascii="宋体" w:hAnsi="宋体" w:eastAsia="宋体" w:cs="宋体"/>
          <w:vanish w:val="0"/>
          <w:color w:val="auto"/>
          <w:sz w:val="24"/>
          <w:szCs w:val="24"/>
          <w:highlight w:val="none"/>
          <w:lang w:val="en-US" w:eastAsia="zh-CN"/>
        </w:rPr>
      </w:pPr>
      <w:bookmarkStart w:id="348" w:name="_Toc7543"/>
      <w:r>
        <w:rPr>
          <w:rFonts w:hint="eastAsia" w:ascii="Times New Roman" w:hAnsi="Times New Roman" w:eastAsia="宋体" w:cs="Times New Roman"/>
          <w:b/>
          <w:bCs/>
          <w:i w:val="0"/>
          <w:color w:val="auto"/>
          <w:kern w:val="2"/>
          <w:sz w:val="24"/>
          <w:szCs w:val="24"/>
          <w:highlight w:val="none"/>
          <w:lang w:val="en-US" w:eastAsia="zh-CN" w:bidi="ar-SA"/>
        </w:rPr>
        <w:t>13.3.7</w:t>
      </w:r>
      <w:r>
        <w:rPr>
          <w:rFonts w:hint="eastAsia" w:ascii="宋体" w:hAnsi="宋体" w:eastAsia="宋体" w:cs="宋体"/>
          <w:vanish w:val="0"/>
          <w:color w:val="auto"/>
          <w:sz w:val="24"/>
          <w:szCs w:val="24"/>
          <w:highlight w:val="none"/>
          <w:lang w:val="en-US" w:eastAsia="zh-CN"/>
        </w:rPr>
        <w:t>　绿植养护服务要求见表13.3.7。</w:t>
      </w:r>
      <w:bookmarkEnd w:id="348"/>
      <w:r>
        <w:rPr>
          <w:rFonts w:hint="eastAsia" w:ascii="宋体" w:hAnsi="宋体" w:eastAsia="宋体" w:cs="宋体"/>
          <w:vanish w:val="0"/>
          <w:color w:val="auto"/>
          <w:sz w:val="24"/>
          <w:szCs w:val="24"/>
          <w:highlight w:val="none"/>
          <w:lang w:val="en-US" w:eastAsia="zh-CN"/>
        </w:rPr>
        <w:t xml:space="preserve"> </w:t>
      </w:r>
    </w:p>
    <w:p>
      <w:pPr>
        <w:pStyle w:val="6"/>
        <w:tabs>
          <w:tab w:val="left" w:pos="420"/>
        </w:tabs>
        <w:spacing w:before="312" w:beforeLines="100" w:after="0" w:line="240" w:lineRule="auto"/>
        <w:jc w:val="center"/>
        <w:outlineLvl w:val="0"/>
        <w:rPr>
          <w:rFonts w:hint="eastAsia" w:ascii="Times New Roman" w:hAnsi="Times New Roman" w:eastAsia="黑体" w:cs="Times New Roman"/>
          <w:bCs w:val="0"/>
          <w:sz w:val="21"/>
          <w:szCs w:val="24"/>
          <w:highlight w:val="none"/>
          <w:lang w:val="en-US" w:eastAsia="zh-CN"/>
        </w:rPr>
      </w:pPr>
      <w:bookmarkStart w:id="349" w:name="_Toc2214"/>
      <w:r>
        <w:rPr>
          <w:rFonts w:hint="eastAsia" w:ascii="Times New Roman" w:hAnsi="Times New Roman" w:eastAsia="黑体" w:cs="Times New Roman"/>
          <w:bCs w:val="0"/>
          <w:sz w:val="21"/>
          <w:szCs w:val="24"/>
          <w:highlight w:val="none"/>
          <w:lang w:val="en-US" w:eastAsia="zh-CN"/>
        </w:rPr>
        <w:t>表13.3.7  项目主要分类服务标准-绿植养护</w:t>
      </w:r>
      <w:bookmarkEnd w:id="349"/>
    </w:p>
    <w:tbl>
      <w:tblPr>
        <w:tblStyle w:val="38"/>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007"/>
        <w:gridCol w:w="1307"/>
        <w:gridCol w:w="1464"/>
        <w:gridCol w:w="1070"/>
        <w:gridCol w:w="1407"/>
        <w:gridCol w:w="991"/>
        <w:gridCol w:w="13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943" w:type="dxa"/>
            <w:gridSpan w:val="2"/>
            <w:vMerge w:val="restart"/>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服务项目</w:t>
            </w:r>
          </w:p>
        </w:tc>
        <w:tc>
          <w:tcPr>
            <w:tcW w:w="2771" w:type="dxa"/>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电力调度大楼</w:t>
            </w:r>
          </w:p>
        </w:tc>
        <w:tc>
          <w:tcPr>
            <w:tcW w:w="2477" w:type="dxa"/>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发电厂</w:t>
            </w:r>
          </w:p>
        </w:tc>
        <w:tc>
          <w:tcPr>
            <w:tcW w:w="2376" w:type="dxa"/>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换流站、变电站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943" w:type="dxa"/>
            <w:gridSpan w:val="2"/>
            <w:vMerge w:val="continue"/>
            <w:tcBorders>
              <w:bottom w:val="single" w:color="000000" w:sz="12"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1307" w:type="dxa"/>
            <w:tcBorders>
              <w:bottom w:val="single" w:color="000000" w:sz="12"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频次</w:t>
            </w:r>
          </w:p>
        </w:tc>
        <w:tc>
          <w:tcPr>
            <w:tcW w:w="1464" w:type="dxa"/>
            <w:tcBorders>
              <w:bottom w:val="single" w:color="000000" w:sz="12"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服务标准</w:t>
            </w:r>
          </w:p>
        </w:tc>
        <w:tc>
          <w:tcPr>
            <w:tcW w:w="1070" w:type="dxa"/>
            <w:tcBorders>
              <w:bottom w:val="single" w:color="000000" w:sz="12"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频次</w:t>
            </w:r>
          </w:p>
        </w:tc>
        <w:tc>
          <w:tcPr>
            <w:tcW w:w="1407" w:type="dxa"/>
            <w:tcBorders>
              <w:bottom w:val="single" w:color="000000" w:sz="12"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服务标准</w:t>
            </w:r>
          </w:p>
        </w:tc>
        <w:tc>
          <w:tcPr>
            <w:tcW w:w="991" w:type="dxa"/>
            <w:tcBorders>
              <w:bottom w:val="single" w:color="000000" w:sz="12"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频次</w:t>
            </w:r>
          </w:p>
        </w:tc>
        <w:tc>
          <w:tcPr>
            <w:tcW w:w="1385" w:type="dxa"/>
            <w:tcBorders>
              <w:bottom w:val="single" w:color="000000" w:sz="12"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36" w:type="dxa"/>
            <w:vMerge w:val="restart"/>
            <w:tcBorders>
              <w:top w:val="single" w:color="000000" w:sz="12" w:space="0"/>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草坪</w:t>
            </w:r>
          </w:p>
        </w:tc>
        <w:tc>
          <w:tcPr>
            <w:tcW w:w="1007" w:type="dxa"/>
            <w:tcBorders>
              <w:top w:val="single" w:color="000000" w:sz="12" w:space="0"/>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保洁</w:t>
            </w:r>
          </w:p>
        </w:tc>
        <w:tc>
          <w:tcPr>
            <w:tcW w:w="1307" w:type="dxa"/>
            <w:tcBorders>
              <w:top w:val="single" w:color="000000" w:sz="12" w:space="0"/>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1次/</w:t>
            </w:r>
            <w:r>
              <w:rPr>
                <w:rFonts w:hint="eastAsia" w:ascii="宋体" w:hAnsi="宋体" w:cs="宋体"/>
                <w:i w:val="0"/>
                <w:iCs w:val="0"/>
                <w:color w:val="auto"/>
                <w:kern w:val="0"/>
                <w:sz w:val="18"/>
                <w:szCs w:val="18"/>
                <w:highlight w:val="none"/>
                <w:u w:val="none"/>
                <w:lang w:val="en-US" w:eastAsia="zh-CN" w:bidi="ar"/>
              </w:rPr>
              <w:t>月</w:t>
            </w:r>
          </w:p>
        </w:tc>
        <w:tc>
          <w:tcPr>
            <w:tcW w:w="1464" w:type="dxa"/>
            <w:vMerge w:val="restart"/>
            <w:tcBorders>
              <w:top w:val="single" w:color="000000" w:sz="12"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无枯黄、无</w:t>
            </w:r>
            <w:r>
              <w:rPr>
                <w:rFonts w:hint="eastAsia" w:ascii="宋体" w:hAnsi="宋体" w:cs="宋体"/>
                <w:i w:val="0"/>
                <w:iCs w:val="0"/>
                <w:color w:val="auto"/>
                <w:kern w:val="0"/>
                <w:sz w:val="18"/>
                <w:szCs w:val="18"/>
                <w:highlight w:val="none"/>
                <w:u w:val="none"/>
                <w:lang w:val="en-US" w:eastAsia="zh-CN" w:bidi="ar"/>
              </w:rPr>
              <w:t>斑</w:t>
            </w:r>
            <w:r>
              <w:rPr>
                <w:rFonts w:hint="eastAsia" w:ascii="宋体" w:hAnsi="宋体" w:eastAsia="宋体" w:cs="宋体"/>
                <w:i w:val="0"/>
                <w:iCs w:val="0"/>
                <w:color w:val="auto"/>
                <w:kern w:val="0"/>
                <w:sz w:val="18"/>
                <w:szCs w:val="18"/>
                <w:highlight w:val="none"/>
                <w:u w:val="none"/>
                <w:lang w:val="en-US" w:eastAsia="zh-CN" w:bidi="ar"/>
              </w:rPr>
              <w:t>秃、保持成型美观</w:t>
            </w:r>
          </w:p>
        </w:tc>
        <w:tc>
          <w:tcPr>
            <w:tcW w:w="1070" w:type="dxa"/>
            <w:tcBorders>
              <w:top w:val="single" w:color="000000" w:sz="12" w:space="0"/>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1次/</w:t>
            </w:r>
            <w:r>
              <w:rPr>
                <w:rFonts w:hint="eastAsia" w:ascii="宋体" w:hAnsi="宋体" w:cs="宋体"/>
                <w:i w:val="0"/>
                <w:iCs w:val="0"/>
                <w:color w:val="auto"/>
                <w:kern w:val="0"/>
                <w:sz w:val="18"/>
                <w:szCs w:val="18"/>
                <w:highlight w:val="none"/>
                <w:u w:val="none"/>
                <w:lang w:val="en-US" w:eastAsia="zh-CN" w:bidi="ar"/>
              </w:rPr>
              <w:t>月</w:t>
            </w:r>
          </w:p>
        </w:tc>
        <w:tc>
          <w:tcPr>
            <w:tcW w:w="1407" w:type="dxa"/>
            <w:vMerge w:val="restart"/>
            <w:tcBorders>
              <w:top w:val="single" w:color="000000" w:sz="12"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无枯黄、无</w:t>
            </w:r>
            <w:r>
              <w:rPr>
                <w:rFonts w:hint="eastAsia" w:ascii="宋体" w:hAnsi="宋体" w:cs="宋体"/>
                <w:i w:val="0"/>
                <w:iCs w:val="0"/>
                <w:color w:val="auto"/>
                <w:kern w:val="0"/>
                <w:sz w:val="18"/>
                <w:szCs w:val="18"/>
                <w:highlight w:val="none"/>
                <w:u w:val="none"/>
                <w:lang w:val="en-US" w:eastAsia="zh-CN" w:bidi="ar"/>
              </w:rPr>
              <w:t>斑</w:t>
            </w:r>
            <w:r>
              <w:rPr>
                <w:rFonts w:hint="eastAsia" w:ascii="宋体" w:hAnsi="宋体" w:eastAsia="宋体" w:cs="宋体"/>
                <w:i w:val="0"/>
                <w:iCs w:val="0"/>
                <w:color w:val="auto"/>
                <w:kern w:val="0"/>
                <w:sz w:val="18"/>
                <w:szCs w:val="18"/>
                <w:highlight w:val="none"/>
                <w:u w:val="none"/>
                <w:lang w:val="en-US" w:eastAsia="zh-CN" w:bidi="ar"/>
              </w:rPr>
              <w:t>秃、保持成型美观</w:t>
            </w:r>
          </w:p>
        </w:tc>
        <w:tc>
          <w:tcPr>
            <w:tcW w:w="991" w:type="dxa"/>
            <w:tcBorders>
              <w:top w:val="single" w:color="000000" w:sz="12" w:space="0"/>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1次/</w:t>
            </w:r>
            <w:r>
              <w:rPr>
                <w:rFonts w:hint="eastAsia" w:ascii="宋体" w:hAnsi="宋体" w:cs="宋体"/>
                <w:i w:val="0"/>
                <w:iCs w:val="0"/>
                <w:color w:val="auto"/>
                <w:kern w:val="0"/>
                <w:sz w:val="18"/>
                <w:szCs w:val="18"/>
                <w:highlight w:val="none"/>
                <w:u w:val="none"/>
                <w:lang w:val="en-US" w:eastAsia="zh-CN" w:bidi="ar"/>
              </w:rPr>
              <w:t>月</w:t>
            </w:r>
          </w:p>
        </w:tc>
        <w:tc>
          <w:tcPr>
            <w:tcW w:w="1385" w:type="dxa"/>
            <w:vMerge w:val="restart"/>
            <w:tcBorders>
              <w:top w:val="single" w:color="000000" w:sz="12"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无枯黄、无</w:t>
            </w:r>
            <w:r>
              <w:rPr>
                <w:rFonts w:hint="eastAsia" w:ascii="宋体" w:hAnsi="宋体" w:cs="宋体"/>
                <w:i w:val="0"/>
                <w:iCs w:val="0"/>
                <w:color w:val="auto"/>
                <w:kern w:val="0"/>
                <w:sz w:val="18"/>
                <w:szCs w:val="18"/>
                <w:highlight w:val="none"/>
                <w:u w:val="none"/>
                <w:lang w:val="en-US" w:eastAsia="zh-CN" w:bidi="ar"/>
              </w:rPr>
              <w:t>斑</w:t>
            </w:r>
            <w:r>
              <w:rPr>
                <w:rFonts w:hint="eastAsia" w:ascii="宋体" w:hAnsi="宋体" w:eastAsia="宋体" w:cs="宋体"/>
                <w:i w:val="0"/>
                <w:iCs w:val="0"/>
                <w:color w:val="auto"/>
                <w:kern w:val="0"/>
                <w:sz w:val="18"/>
                <w:szCs w:val="18"/>
                <w:highlight w:val="none"/>
                <w:u w:val="none"/>
                <w:lang w:val="en-US" w:eastAsia="zh-CN" w:bidi="ar"/>
              </w:rPr>
              <w:t>秃、保持成型美观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36" w:type="dxa"/>
            <w:vMerge w:val="continue"/>
            <w:tcBorders>
              <w:tl2br w:val="nil"/>
              <w:tr2bl w:val="nil"/>
            </w:tcBorders>
            <w:noWrap/>
            <w:vAlign w:val="center"/>
          </w:tcPr>
          <w:p>
            <w:pPr>
              <w:jc w:val="center"/>
              <w:rPr>
                <w:rFonts w:hint="eastAsia" w:ascii="宋体" w:hAnsi="宋体" w:eastAsia="宋体" w:cs="宋体"/>
                <w:i w:val="0"/>
                <w:iCs w:val="0"/>
                <w:color w:val="auto"/>
                <w:sz w:val="18"/>
                <w:szCs w:val="18"/>
                <w:highlight w:val="none"/>
                <w:u w:val="none"/>
              </w:rPr>
            </w:pPr>
          </w:p>
        </w:tc>
        <w:tc>
          <w:tcPr>
            <w:tcW w:w="1007"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修剪</w:t>
            </w:r>
          </w:p>
        </w:tc>
        <w:tc>
          <w:tcPr>
            <w:tcW w:w="1307"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次/年</w:t>
            </w:r>
          </w:p>
        </w:tc>
        <w:tc>
          <w:tcPr>
            <w:tcW w:w="146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sz w:val="18"/>
                <w:szCs w:val="18"/>
                <w:highlight w:val="none"/>
                <w:u w:val="none"/>
              </w:rPr>
            </w:pPr>
          </w:p>
        </w:tc>
        <w:tc>
          <w:tcPr>
            <w:tcW w:w="1070"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次/年</w:t>
            </w:r>
          </w:p>
        </w:tc>
        <w:tc>
          <w:tcPr>
            <w:tcW w:w="140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sz w:val="18"/>
                <w:szCs w:val="18"/>
                <w:highlight w:val="none"/>
                <w:u w:val="none"/>
              </w:rPr>
            </w:pPr>
          </w:p>
        </w:tc>
        <w:tc>
          <w:tcPr>
            <w:tcW w:w="991"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次/年</w:t>
            </w:r>
          </w:p>
        </w:tc>
        <w:tc>
          <w:tcPr>
            <w:tcW w:w="138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sz w:val="18"/>
                <w:szCs w:val="18"/>
                <w:highlight w:val="none"/>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36" w:type="dxa"/>
            <w:vMerge w:val="continue"/>
            <w:tcBorders>
              <w:tl2br w:val="nil"/>
              <w:tr2bl w:val="nil"/>
            </w:tcBorders>
            <w:noWrap/>
            <w:vAlign w:val="center"/>
          </w:tcPr>
          <w:p>
            <w:pPr>
              <w:jc w:val="center"/>
              <w:rPr>
                <w:rFonts w:hint="eastAsia" w:ascii="宋体" w:hAnsi="宋体" w:eastAsia="宋体" w:cs="宋体"/>
                <w:i w:val="0"/>
                <w:iCs w:val="0"/>
                <w:color w:val="auto"/>
                <w:sz w:val="18"/>
                <w:szCs w:val="18"/>
                <w:highlight w:val="none"/>
                <w:u w:val="none"/>
              </w:rPr>
            </w:pPr>
          </w:p>
        </w:tc>
        <w:tc>
          <w:tcPr>
            <w:tcW w:w="1007"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除杂草</w:t>
            </w:r>
          </w:p>
        </w:tc>
        <w:tc>
          <w:tcPr>
            <w:tcW w:w="1307"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次/年</w:t>
            </w:r>
          </w:p>
        </w:tc>
        <w:tc>
          <w:tcPr>
            <w:tcW w:w="146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sz w:val="18"/>
                <w:szCs w:val="18"/>
                <w:highlight w:val="none"/>
                <w:u w:val="none"/>
              </w:rPr>
            </w:pPr>
          </w:p>
        </w:tc>
        <w:tc>
          <w:tcPr>
            <w:tcW w:w="1070"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次/年</w:t>
            </w:r>
          </w:p>
        </w:tc>
        <w:tc>
          <w:tcPr>
            <w:tcW w:w="1407"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sz w:val="18"/>
                <w:szCs w:val="18"/>
                <w:highlight w:val="none"/>
                <w:u w:val="none"/>
              </w:rPr>
            </w:pPr>
          </w:p>
        </w:tc>
        <w:tc>
          <w:tcPr>
            <w:tcW w:w="991"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次/年</w:t>
            </w:r>
          </w:p>
        </w:tc>
        <w:tc>
          <w:tcPr>
            <w:tcW w:w="138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auto"/>
                <w:sz w:val="18"/>
                <w:szCs w:val="18"/>
                <w:highlight w:val="none"/>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36" w:type="dxa"/>
            <w:vMerge w:val="restar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地被</w:t>
            </w:r>
          </w:p>
        </w:tc>
        <w:tc>
          <w:tcPr>
            <w:tcW w:w="1007"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保洁</w:t>
            </w:r>
          </w:p>
        </w:tc>
        <w:tc>
          <w:tcPr>
            <w:tcW w:w="1307"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1次/年</w:t>
            </w:r>
          </w:p>
        </w:tc>
        <w:tc>
          <w:tcPr>
            <w:tcW w:w="146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保持成型美观，生长良好</w:t>
            </w:r>
          </w:p>
        </w:tc>
        <w:tc>
          <w:tcPr>
            <w:tcW w:w="1070"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1次/年</w:t>
            </w:r>
          </w:p>
        </w:tc>
        <w:tc>
          <w:tcPr>
            <w:tcW w:w="1407"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保持成型美观，生长良好</w:t>
            </w:r>
          </w:p>
        </w:tc>
        <w:tc>
          <w:tcPr>
            <w:tcW w:w="991"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1次/年</w:t>
            </w:r>
          </w:p>
        </w:tc>
        <w:tc>
          <w:tcPr>
            <w:tcW w:w="138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保持成型美观，生长良好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36" w:type="dxa"/>
            <w:vMerge w:val="continue"/>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1007"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养护</w:t>
            </w:r>
          </w:p>
        </w:tc>
        <w:tc>
          <w:tcPr>
            <w:tcW w:w="1307"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次/年</w:t>
            </w:r>
          </w:p>
        </w:tc>
        <w:tc>
          <w:tcPr>
            <w:tcW w:w="1464"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p>
        </w:tc>
        <w:tc>
          <w:tcPr>
            <w:tcW w:w="1070"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次/年</w:t>
            </w:r>
          </w:p>
        </w:tc>
        <w:tc>
          <w:tcPr>
            <w:tcW w:w="140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p>
        </w:tc>
        <w:tc>
          <w:tcPr>
            <w:tcW w:w="991"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次/年</w:t>
            </w:r>
          </w:p>
        </w:tc>
        <w:tc>
          <w:tcPr>
            <w:tcW w:w="138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936"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灌木</w:t>
            </w:r>
          </w:p>
        </w:tc>
        <w:tc>
          <w:tcPr>
            <w:tcW w:w="1007"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修剪</w:t>
            </w:r>
          </w:p>
        </w:tc>
        <w:tc>
          <w:tcPr>
            <w:tcW w:w="1307"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次/年</w:t>
            </w:r>
          </w:p>
        </w:tc>
        <w:tc>
          <w:tcPr>
            <w:tcW w:w="146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无凌乱枝条</w:t>
            </w:r>
          </w:p>
        </w:tc>
        <w:tc>
          <w:tcPr>
            <w:tcW w:w="1070"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次/年</w:t>
            </w:r>
          </w:p>
        </w:tc>
        <w:tc>
          <w:tcPr>
            <w:tcW w:w="140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无凌乱枝条</w:t>
            </w:r>
          </w:p>
        </w:tc>
        <w:tc>
          <w:tcPr>
            <w:tcW w:w="991"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次/年</w:t>
            </w:r>
          </w:p>
        </w:tc>
        <w:tc>
          <w:tcPr>
            <w:tcW w:w="138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无凌乱枝条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36"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乔木</w:t>
            </w:r>
          </w:p>
        </w:tc>
        <w:tc>
          <w:tcPr>
            <w:tcW w:w="1007"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修剪</w:t>
            </w:r>
          </w:p>
        </w:tc>
        <w:tc>
          <w:tcPr>
            <w:tcW w:w="1307"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1次/年</w:t>
            </w:r>
          </w:p>
        </w:tc>
        <w:tc>
          <w:tcPr>
            <w:tcW w:w="146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除枯枝弱叶</w:t>
            </w:r>
          </w:p>
        </w:tc>
        <w:tc>
          <w:tcPr>
            <w:tcW w:w="1070"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1次/年</w:t>
            </w:r>
          </w:p>
        </w:tc>
        <w:tc>
          <w:tcPr>
            <w:tcW w:w="140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除枯枝弱叶</w:t>
            </w:r>
          </w:p>
        </w:tc>
        <w:tc>
          <w:tcPr>
            <w:tcW w:w="991"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1次/年</w:t>
            </w:r>
          </w:p>
        </w:tc>
        <w:tc>
          <w:tcPr>
            <w:tcW w:w="138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除枯枝弱叶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36" w:type="dxa"/>
            <w:vMerge w:val="restar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绿化租摆</w:t>
            </w:r>
          </w:p>
        </w:tc>
        <w:tc>
          <w:tcPr>
            <w:tcW w:w="1007"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养护</w:t>
            </w:r>
          </w:p>
        </w:tc>
        <w:tc>
          <w:tcPr>
            <w:tcW w:w="1307"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1次/</w:t>
            </w:r>
            <w:r>
              <w:rPr>
                <w:rFonts w:hint="eastAsia" w:ascii="宋体" w:hAnsi="宋体" w:cs="宋体"/>
                <w:i w:val="0"/>
                <w:iCs w:val="0"/>
                <w:color w:val="auto"/>
                <w:kern w:val="0"/>
                <w:sz w:val="18"/>
                <w:szCs w:val="18"/>
                <w:highlight w:val="none"/>
                <w:u w:val="none"/>
                <w:lang w:val="en-US" w:eastAsia="zh-CN" w:bidi="ar"/>
              </w:rPr>
              <w:t>月</w:t>
            </w:r>
          </w:p>
        </w:tc>
        <w:tc>
          <w:tcPr>
            <w:tcW w:w="146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长势良好，无积尘、无枯黄，按季节选择合适的绿植</w:t>
            </w:r>
          </w:p>
        </w:tc>
        <w:tc>
          <w:tcPr>
            <w:tcW w:w="1070"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1次/</w:t>
            </w:r>
            <w:r>
              <w:rPr>
                <w:rFonts w:hint="eastAsia" w:ascii="宋体" w:hAnsi="宋体" w:cs="宋体"/>
                <w:i w:val="0"/>
                <w:iCs w:val="0"/>
                <w:color w:val="auto"/>
                <w:kern w:val="0"/>
                <w:sz w:val="18"/>
                <w:szCs w:val="18"/>
                <w:highlight w:val="none"/>
                <w:u w:val="none"/>
                <w:lang w:val="en-US" w:eastAsia="zh-CN" w:bidi="ar"/>
              </w:rPr>
              <w:t>月</w:t>
            </w:r>
          </w:p>
        </w:tc>
        <w:tc>
          <w:tcPr>
            <w:tcW w:w="1407"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长势良好，无积尘、无枯黄，按季节选择合适的绿植</w:t>
            </w:r>
          </w:p>
        </w:tc>
        <w:tc>
          <w:tcPr>
            <w:tcW w:w="991"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1次/</w:t>
            </w:r>
            <w:r>
              <w:rPr>
                <w:rFonts w:hint="eastAsia" w:ascii="宋体" w:hAnsi="宋体" w:cs="宋体"/>
                <w:i w:val="0"/>
                <w:iCs w:val="0"/>
                <w:color w:val="auto"/>
                <w:kern w:val="0"/>
                <w:sz w:val="18"/>
                <w:szCs w:val="18"/>
                <w:highlight w:val="none"/>
                <w:u w:val="none"/>
                <w:lang w:val="en-US" w:eastAsia="zh-CN" w:bidi="ar"/>
              </w:rPr>
              <w:t>月</w:t>
            </w:r>
          </w:p>
        </w:tc>
        <w:tc>
          <w:tcPr>
            <w:tcW w:w="138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长势良好，无积尘、无枯黄，按季节选择合适的绿植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 w:type="dxa"/>
            <w:vMerge w:val="continue"/>
            <w:tcBorders>
              <w:tl2br w:val="nil"/>
              <w:tr2bl w:val="nil"/>
            </w:tcBorders>
            <w:noWrap/>
            <w:vAlign w:val="center"/>
          </w:tcPr>
          <w:p>
            <w:pPr>
              <w:jc w:val="center"/>
              <w:rPr>
                <w:rFonts w:hint="eastAsia" w:ascii="宋体" w:hAnsi="宋体" w:eastAsia="宋体" w:cs="宋体"/>
                <w:i w:val="0"/>
                <w:iCs w:val="0"/>
                <w:color w:val="auto"/>
                <w:sz w:val="18"/>
                <w:szCs w:val="18"/>
                <w:highlight w:val="none"/>
                <w:u w:val="none"/>
              </w:rPr>
            </w:pPr>
          </w:p>
        </w:tc>
        <w:tc>
          <w:tcPr>
            <w:tcW w:w="1007"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更换频次</w:t>
            </w:r>
          </w:p>
        </w:tc>
        <w:tc>
          <w:tcPr>
            <w:tcW w:w="1307"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次/年</w:t>
            </w:r>
          </w:p>
        </w:tc>
        <w:tc>
          <w:tcPr>
            <w:tcW w:w="1464" w:type="dxa"/>
            <w:vMerge w:val="continue"/>
            <w:tcBorders>
              <w:tl2br w:val="nil"/>
              <w:tr2bl w:val="nil"/>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070"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次/年</w:t>
            </w:r>
          </w:p>
        </w:tc>
        <w:tc>
          <w:tcPr>
            <w:tcW w:w="1407" w:type="dxa"/>
            <w:vMerge w:val="continue"/>
            <w:tcBorders>
              <w:tl2br w:val="nil"/>
              <w:tr2bl w:val="nil"/>
            </w:tcBorders>
            <w:noWrap w:val="0"/>
            <w:vAlign w:val="center"/>
          </w:tcPr>
          <w:p>
            <w:pPr>
              <w:jc w:val="center"/>
              <w:rPr>
                <w:rFonts w:hint="eastAsia" w:ascii="宋体" w:hAnsi="宋体" w:eastAsia="宋体" w:cs="宋体"/>
                <w:i w:val="0"/>
                <w:iCs w:val="0"/>
                <w:color w:val="auto"/>
                <w:sz w:val="18"/>
                <w:szCs w:val="18"/>
                <w:highlight w:val="none"/>
                <w:u w:val="none"/>
              </w:rPr>
            </w:pPr>
          </w:p>
        </w:tc>
        <w:tc>
          <w:tcPr>
            <w:tcW w:w="991"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次/年</w:t>
            </w:r>
          </w:p>
        </w:tc>
        <w:tc>
          <w:tcPr>
            <w:tcW w:w="1385" w:type="dxa"/>
            <w:vMerge w:val="continue"/>
            <w:tcBorders>
              <w:tl2br w:val="nil"/>
              <w:tr2bl w:val="nil"/>
            </w:tcBorders>
            <w:noWrap w:val="0"/>
            <w:vAlign w:val="center"/>
          </w:tcPr>
          <w:p>
            <w:pPr>
              <w:jc w:val="center"/>
              <w:rPr>
                <w:rFonts w:hint="eastAsia" w:ascii="宋体" w:hAnsi="宋体" w:eastAsia="宋体" w:cs="宋体"/>
                <w:i w:val="0"/>
                <w:iCs w:val="0"/>
                <w:color w:val="auto"/>
                <w:sz w:val="18"/>
                <w:szCs w:val="18"/>
                <w:highlight w:val="none"/>
                <w:u w:val="none"/>
              </w:rPr>
            </w:pPr>
          </w:p>
        </w:tc>
      </w:tr>
    </w:tbl>
    <w:p>
      <w:pPr>
        <w:pStyle w:val="2"/>
        <w:keepNext w:val="0"/>
        <w:keepLines w:val="0"/>
        <w:pageBreakBefore/>
        <w:spacing w:line="240" w:lineRule="auto"/>
        <w:jc w:val="center"/>
        <w:rPr>
          <w:rFonts w:hint="eastAsia" w:ascii="Times New Roman" w:hAnsi="Times New Roman" w:eastAsia="宋体" w:cs="Times New Roman"/>
          <w:sz w:val="30"/>
          <w:highlight w:val="none"/>
          <w:lang w:val="en-US" w:eastAsia="zh-CN"/>
        </w:rPr>
      </w:pPr>
      <w:bookmarkStart w:id="350" w:name="_Toc17707"/>
      <w:bookmarkStart w:id="351" w:name="_Toc27890"/>
      <w:r>
        <w:rPr>
          <w:rFonts w:hint="eastAsia" w:ascii="Times New Roman" w:hAnsi="Times New Roman" w:eastAsia="宋体" w:cs="Times New Roman"/>
          <w:sz w:val="30"/>
          <w:highlight w:val="none"/>
          <w:lang w:val="en-US" w:eastAsia="zh-CN"/>
        </w:rPr>
        <w:t xml:space="preserve">14  </w:t>
      </w:r>
      <w:r>
        <w:rPr>
          <w:rFonts w:hint="eastAsia" w:ascii="Times New Roman" w:hAnsi="Times New Roman" w:eastAsia="宋体" w:cs="Times New Roman"/>
          <w:b w:val="0"/>
          <w:bCs w:val="0"/>
          <w:sz w:val="30"/>
          <w:highlight w:val="none"/>
          <w:lang w:val="en-US" w:eastAsia="zh-CN"/>
        </w:rPr>
        <w:t>食</w:t>
      </w:r>
      <w:r>
        <w:rPr>
          <w:rFonts w:hint="eastAsia" w:cs="Times New Roman"/>
          <w:b w:val="0"/>
          <w:bCs w:val="0"/>
          <w:sz w:val="30"/>
          <w:highlight w:val="none"/>
          <w:lang w:val="en-US" w:eastAsia="zh-CN"/>
        </w:rPr>
        <w:t xml:space="preserve">  </w:t>
      </w:r>
      <w:r>
        <w:rPr>
          <w:rFonts w:hint="eastAsia" w:ascii="Times New Roman" w:hAnsi="Times New Roman" w:eastAsia="宋体" w:cs="Times New Roman"/>
          <w:b w:val="0"/>
          <w:bCs w:val="0"/>
          <w:sz w:val="30"/>
          <w:highlight w:val="none"/>
          <w:lang w:val="en-US" w:eastAsia="zh-CN"/>
        </w:rPr>
        <w:t>堂</w:t>
      </w:r>
      <w:r>
        <w:rPr>
          <w:rFonts w:hint="eastAsia" w:cs="Times New Roman"/>
          <w:b w:val="0"/>
          <w:bCs w:val="0"/>
          <w:sz w:val="30"/>
          <w:highlight w:val="none"/>
          <w:lang w:val="en-US" w:eastAsia="zh-CN"/>
        </w:rPr>
        <w:t xml:space="preserve">  </w:t>
      </w:r>
      <w:r>
        <w:rPr>
          <w:rFonts w:hint="eastAsia" w:ascii="Times New Roman" w:hAnsi="Times New Roman" w:eastAsia="宋体" w:cs="Times New Roman"/>
          <w:b w:val="0"/>
          <w:bCs w:val="0"/>
          <w:sz w:val="30"/>
          <w:highlight w:val="none"/>
          <w:lang w:val="en-US" w:eastAsia="zh-CN"/>
        </w:rPr>
        <w:t>管</w:t>
      </w:r>
      <w:r>
        <w:rPr>
          <w:rFonts w:hint="eastAsia" w:cs="Times New Roman"/>
          <w:b w:val="0"/>
          <w:bCs w:val="0"/>
          <w:sz w:val="30"/>
          <w:highlight w:val="none"/>
          <w:lang w:val="en-US" w:eastAsia="zh-CN"/>
        </w:rPr>
        <w:t xml:space="preserve">  </w:t>
      </w:r>
      <w:r>
        <w:rPr>
          <w:rFonts w:hint="eastAsia" w:ascii="Times New Roman" w:hAnsi="Times New Roman" w:eastAsia="宋体" w:cs="Times New Roman"/>
          <w:b w:val="0"/>
          <w:bCs w:val="0"/>
          <w:sz w:val="30"/>
          <w:highlight w:val="none"/>
          <w:lang w:val="en-US" w:eastAsia="zh-CN"/>
        </w:rPr>
        <w:t>理</w:t>
      </w:r>
      <w:bookmarkEnd w:id="350"/>
      <w:bookmarkEnd w:id="351"/>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default" w:ascii="Times New Roman" w:hAnsi="Times New Roman" w:eastAsia="宋体" w:cs="Times New Roman"/>
          <w:b/>
          <w:bCs/>
          <w:vanish w:val="0"/>
          <w:color w:val="auto"/>
          <w:sz w:val="24"/>
          <w:szCs w:val="24"/>
          <w:highlight w:val="none"/>
          <w:lang w:val="en-US" w:eastAsia="zh-CN"/>
        </w:rPr>
        <w:t>14.</w:t>
      </w:r>
      <w:r>
        <w:rPr>
          <w:rFonts w:hint="eastAsia" w:ascii="Times New Roman" w:hAnsi="Times New Roman" w:cs="Times New Roman"/>
          <w:b/>
          <w:bCs/>
          <w:vanish w:val="0"/>
          <w:color w:val="auto"/>
          <w:sz w:val="24"/>
          <w:szCs w:val="24"/>
          <w:highlight w:val="none"/>
          <w:lang w:val="en-US" w:eastAsia="zh-CN"/>
        </w:rPr>
        <w:t>0.</w:t>
      </w:r>
      <w:r>
        <w:rPr>
          <w:rFonts w:hint="default" w:ascii="Times New Roman" w:hAnsi="Times New Roman" w:eastAsia="宋体" w:cs="Times New Roman"/>
          <w:b/>
          <w:bCs/>
          <w:vanish w:val="0"/>
          <w:color w:val="auto"/>
          <w:sz w:val="24"/>
          <w:szCs w:val="24"/>
          <w:highlight w:val="none"/>
          <w:lang w:val="en-US" w:eastAsia="zh-CN"/>
        </w:rPr>
        <w:t>1</w:t>
      </w:r>
      <w:r>
        <w:rPr>
          <w:rFonts w:hint="eastAsia" w:ascii="宋体" w:hAnsi="宋体" w:eastAsia="宋体" w:cs="宋体"/>
          <w:vanish w:val="0"/>
          <w:color w:val="auto"/>
          <w:sz w:val="24"/>
          <w:szCs w:val="24"/>
          <w:highlight w:val="none"/>
          <w:lang w:val="en-US" w:eastAsia="zh-CN"/>
        </w:rPr>
        <w:t xml:space="preserve">  </w:t>
      </w:r>
      <w:r>
        <w:rPr>
          <w:rFonts w:hint="eastAsia" w:ascii="宋体" w:hAnsi="宋体" w:cs="宋体"/>
          <w:vanish w:val="0"/>
          <w:color w:val="auto"/>
          <w:sz w:val="24"/>
          <w:szCs w:val="24"/>
          <w:highlight w:val="none"/>
          <w:lang w:val="en-US" w:eastAsia="zh-CN"/>
        </w:rPr>
        <w:t>应符合现行国家标准</w:t>
      </w:r>
      <w:r>
        <w:rPr>
          <w:rFonts w:hint="eastAsia" w:ascii="宋体" w:hAnsi="宋体" w:eastAsia="宋体" w:cs="宋体"/>
          <w:vanish w:val="0"/>
          <w:color w:val="auto"/>
          <w:sz w:val="24"/>
          <w:szCs w:val="24"/>
          <w:highlight w:val="none"/>
          <w:lang w:val="en-US" w:eastAsia="zh-CN"/>
        </w:rPr>
        <w:t>《食品安全国家标准  餐饮服务通用卫生规范》GB 31654</w:t>
      </w:r>
      <w:r>
        <w:rPr>
          <w:rFonts w:hint="eastAsia" w:ascii="宋体" w:hAnsi="宋体" w:cs="宋体"/>
          <w:vanish w:val="0"/>
          <w:color w:val="auto"/>
          <w:sz w:val="24"/>
          <w:szCs w:val="24"/>
          <w:highlight w:val="none"/>
          <w:lang w:val="en-US" w:eastAsia="zh-CN"/>
        </w:rPr>
        <w:t>的相关规定</w:t>
      </w:r>
      <w:r>
        <w:rPr>
          <w:rFonts w:hint="eastAsia" w:ascii="宋体" w:hAnsi="宋体" w:eastAsia="宋体" w:cs="宋体"/>
          <w:vanish w:val="0"/>
          <w:color w:val="auto"/>
          <w:sz w:val="24"/>
          <w:szCs w:val="24"/>
          <w:highlight w:val="none"/>
          <w:lang w:val="en-US" w:eastAsia="zh-CN"/>
        </w:rPr>
        <w:t>建立厨房、食堂食品安全管理制度，采取有效管理措施，保证食品安全。</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14.</w:t>
      </w:r>
      <w:r>
        <w:rPr>
          <w:rFonts w:hint="eastAsia" w:ascii="Times New Roman" w:hAnsi="Times New Roman" w:cs="Times New Roman"/>
          <w:b/>
          <w:bCs/>
          <w:vanish w:val="0"/>
          <w:color w:val="auto"/>
          <w:sz w:val="24"/>
          <w:szCs w:val="24"/>
          <w:highlight w:val="none"/>
          <w:lang w:val="en-US" w:eastAsia="zh-CN"/>
        </w:rPr>
        <w:t>0.</w:t>
      </w:r>
      <w:r>
        <w:rPr>
          <w:rFonts w:hint="eastAsia" w:ascii="Times New Roman" w:hAnsi="Times New Roman" w:eastAsia="宋体" w:cs="Times New Roman"/>
          <w:b/>
          <w:bCs/>
          <w:vanish w:val="0"/>
          <w:color w:val="auto"/>
          <w:sz w:val="24"/>
          <w:szCs w:val="24"/>
          <w:highlight w:val="none"/>
          <w:lang w:val="en-US" w:eastAsia="zh-CN"/>
        </w:rPr>
        <w:t>2</w:t>
      </w:r>
      <w:r>
        <w:rPr>
          <w:rFonts w:hint="eastAsia" w:ascii="宋体" w:hAnsi="宋体" w:eastAsia="宋体" w:cs="宋体"/>
          <w:vanish w:val="0"/>
          <w:color w:val="auto"/>
          <w:sz w:val="24"/>
          <w:szCs w:val="24"/>
          <w:highlight w:val="none"/>
          <w:lang w:val="en-US" w:eastAsia="zh-CN"/>
        </w:rPr>
        <w:t>　食堂应持有《食品安全许可证》、食堂从业人员应持有食品从业人员健康证并在显眼地方上墙，每天上岗前应进行健康状况检查，如发现异常情况应暂停上岗。</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14.</w:t>
      </w:r>
      <w:r>
        <w:rPr>
          <w:rFonts w:hint="eastAsia" w:ascii="Times New Roman" w:hAnsi="Times New Roman" w:cs="Times New Roman"/>
          <w:b/>
          <w:bCs/>
          <w:vanish w:val="0"/>
          <w:color w:val="auto"/>
          <w:sz w:val="24"/>
          <w:szCs w:val="24"/>
          <w:highlight w:val="none"/>
          <w:lang w:val="en-US" w:eastAsia="zh-CN"/>
        </w:rPr>
        <w:t>0.</w:t>
      </w:r>
      <w:r>
        <w:rPr>
          <w:rFonts w:hint="eastAsia" w:ascii="Times New Roman" w:hAnsi="Times New Roman" w:eastAsia="宋体" w:cs="Times New Roman"/>
          <w:b/>
          <w:bCs/>
          <w:vanish w:val="0"/>
          <w:color w:val="auto"/>
          <w:sz w:val="24"/>
          <w:szCs w:val="24"/>
          <w:highlight w:val="none"/>
          <w:lang w:val="en-US" w:eastAsia="zh-CN"/>
        </w:rPr>
        <w:t>3</w:t>
      </w:r>
      <w:r>
        <w:rPr>
          <w:rFonts w:hint="eastAsia" w:ascii="宋体" w:hAnsi="宋体" w:eastAsia="宋体" w:cs="宋体"/>
          <w:vanish w:val="0"/>
          <w:color w:val="auto"/>
          <w:sz w:val="24"/>
          <w:szCs w:val="24"/>
          <w:highlight w:val="none"/>
          <w:lang w:val="en-US" w:eastAsia="zh-CN"/>
        </w:rPr>
        <w:t>　应当及时对厨房灶具和排油烟罩设施进行清洗，每日应对洗碗机和消毒柜进行检查，排油烟管道每季度至少进行一次检查、清洗。</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14.</w:t>
      </w:r>
      <w:r>
        <w:rPr>
          <w:rFonts w:hint="eastAsia" w:ascii="Times New Roman" w:hAnsi="Times New Roman" w:cs="Times New Roman"/>
          <w:b/>
          <w:bCs/>
          <w:vanish w:val="0"/>
          <w:color w:val="auto"/>
          <w:sz w:val="24"/>
          <w:szCs w:val="24"/>
          <w:highlight w:val="none"/>
          <w:lang w:val="en-US" w:eastAsia="zh-CN"/>
        </w:rPr>
        <w:t>0.</w:t>
      </w:r>
      <w:r>
        <w:rPr>
          <w:rFonts w:hint="eastAsia" w:ascii="Times New Roman" w:hAnsi="Times New Roman" w:eastAsia="宋体" w:cs="Times New Roman"/>
          <w:b/>
          <w:bCs/>
          <w:vanish w:val="0"/>
          <w:color w:val="auto"/>
          <w:sz w:val="24"/>
          <w:szCs w:val="24"/>
          <w:highlight w:val="none"/>
          <w:lang w:val="en-US" w:eastAsia="zh-CN"/>
        </w:rPr>
        <w:t>4　</w:t>
      </w:r>
      <w:r>
        <w:rPr>
          <w:rFonts w:hint="eastAsia" w:ascii="宋体" w:hAnsi="宋体" w:eastAsia="宋体" w:cs="宋体"/>
          <w:vanish w:val="0"/>
          <w:color w:val="auto"/>
          <w:sz w:val="24"/>
          <w:szCs w:val="24"/>
          <w:highlight w:val="none"/>
          <w:lang w:val="en-US" w:eastAsia="zh-CN"/>
        </w:rPr>
        <w:t>应制定完善的食品、食材供应商管理制度并严格落实监管，做好相关可追溯的记录存档备查。</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14.</w:t>
      </w:r>
      <w:r>
        <w:rPr>
          <w:rFonts w:hint="eastAsia" w:ascii="Times New Roman" w:hAnsi="Times New Roman" w:cs="Times New Roman"/>
          <w:b/>
          <w:bCs/>
          <w:vanish w:val="0"/>
          <w:color w:val="auto"/>
          <w:sz w:val="24"/>
          <w:szCs w:val="24"/>
          <w:highlight w:val="none"/>
          <w:lang w:val="en-US" w:eastAsia="zh-CN"/>
        </w:rPr>
        <w:t>0.</w:t>
      </w:r>
      <w:r>
        <w:rPr>
          <w:rFonts w:hint="eastAsia" w:ascii="Times New Roman" w:hAnsi="Times New Roman" w:eastAsia="宋体" w:cs="Times New Roman"/>
          <w:b/>
          <w:bCs/>
          <w:vanish w:val="0"/>
          <w:color w:val="auto"/>
          <w:sz w:val="24"/>
          <w:szCs w:val="24"/>
          <w:highlight w:val="none"/>
          <w:lang w:val="en-US" w:eastAsia="zh-CN"/>
        </w:rPr>
        <w:t>5</w:t>
      </w:r>
      <w:r>
        <w:rPr>
          <w:rFonts w:hint="eastAsia" w:ascii="宋体" w:hAnsi="宋体" w:eastAsia="宋体" w:cs="宋体"/>
          <w:vanish w:val="0"/>
          <w:color w:val="auto"/>
          <w:sz w:val="24"/>
          <w:szCs w:val="24"/>
          <w:highlight w:val="none"/>
          <w:lang w:val="en-US" w:eastAsia="zh-CN"/>
        </w:rPr>
        <w:t>　应制定完善的厨房、食堂食品安全卫生监督机制。按制度落实主要监督工作包括但不限于以下内容：</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bookmarkStart w:id="352" w:name="_Toc31632"/>
      <w:bookmarkStart w:id="353" w:name="_Toc29172"/>
      <w:bookmarkStart w:id="354" w:name="_Toc18486"/>
      <w:r>
        <w:rPr>
          <w:rFonts w:hint="eastAsia" w:ascii="宋体" w:hAnsi="宋体" w:eastAsia="宋体" w:cs="宋体"/>
          <w:vanish w:val="0"/>
          <w:color w:val="auto"/>
          <w:sz w:val="24"/>
          <w:szCs w:val="24"/>
          <w:highlight w:val="none"/>
          <w:lang w:val="en-US" w:eastAsia="zh-CN"/>
        </w:rPr>
        <w:t>1  每班次对食堂环境清洁质量、厨房及食品安全卫生、生熟冷冻食品储存与管理、留样食品的管理、食品添加剂使用与管理、食堂紫外线消毒、食品采购与食品进出库的登记等做好监督检查和管理工作，宜进行相关记录存档</w:t>
      </w:r>
      <w:bookmarkEnd w:id="352"/>
      <w:bookmarkEnd w:id="353"/>
      <w:bookmarkEnd w:id="354"/>
      <w:r>
        <w:rPr>
          <w:rFonts w:hint="eastAsia" w:ascii="宋体" w:hAnsi="宋体" w:cs="宋体"/>
          <w:vanish w:val="0"/>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bookmarkStart w:id="355" w:name="_Toc26166"/>
      <w:bookmarkStart w:id="356" w:name="_Toc10582"/>
      <w:bookmarkStart w:id="357" w:name="_Toc27403"/>
      <w:r>
        <w:rPr>
          <w:rFonts w:hint="eastAsia" w:ascii="宋体" w:hAnsi="宋体" w:eastAsia="宋体" w:cs="宋体"/>
          <w:vanish w:val="0"/>
          <w:color w:val="auto"/>
          <w:sz w:val="24"/>
          <w:szCs w:val="24"/>
          <w:highlight w:val="none"/>
          <w:lang w:val="en-US" w:eastAsia="zh-CN"/>
        </w:rPr>
        <w:t>2  对各类食堂、食厅制定餐前、餐中、餐后的相关服务流程宜有效进行实施，保障用餐服务的顺利进行。</w:t>
      </w:r>
      <w:bookmarkEnd w:id="355"/>
      <w:bookmarkEnd w:id="356"/>
      <w:bookmarkEnd w:id="357"/>
    </w:p>
    <w:p>
      <w:pPr>
        <w:pStyle w:val="2"/>
        <w:keepNext w:val="0"/>
        <w:keepLines w:val="0"/>
        <w:pageBreakBefore/>
        <w:spacing w:line="240" w:lineRule="auto"/>
        <w:jc w:val="center"/>
        <w:rPr>
          <w:rFonts w:hint="eastAsia" w:ascii="Times New Roman" w:hAnsi="Times New Roman" w:eastAsia="宋体" w:cs="Times New Roman"/>
          <w:sz w:val="30"/>
          <w:highlight w:val="none"/>
          <w:lang w:val="en-US" w:eastAsia="zh-CN"/>
        </w:rPr>
      </w:pPr>
      <w:bookmarkStart w:id="358" w:name="_Toc15025"/>
      <w:bookmarkStart w:id="359" w:name="_Toc3248"/>
      <w:r>
        <w:rPr>
          <w:rFonts w:hint="eastAsia" w:ascii="Times New Roman" w:hAnsi="Times New Roman" w:eastAsia="宋体" w:cs="Times New Roman"/>
          <w:sz w:val="30"/>
          <w:highlight w:val="none"/>
          <w:lang w:val="en-US" w:eastAsia="zh-CN"/>
        </w:rPr>
        <w:t xml:space="preserve">15  </w:t>
      </w:r>
      <w:r>
        <w:rPr>
          <w:rFonts w:hint="eastAsia" w:ascii="Times New Roman" w:hAnsi="Times New Roman" w:eastAsia="宋体" w:cs="Times New Roman"/>
          <w:b w:val="0"/>
          <w:bCs w:val="0"/>
          <w:sz w:val="30"/>
          <w:highlight w:val="none"/>
          <w:lang w:val="en-US" w:eastAsia="zh-CN"/>
        </w:rPr>
        <w:t>公寓或招待所服务</w:t>
      </w:r>
      <w:bookmarkEnd w:id="358"/>
      <w:bookmarkEnd w:id="359"/>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15.</w:t>
      </w:r>
      <w:r>
        <w:rPr>
          <w:rFonts w:hint="eastAsia" w:ascii="Times New Roman" w:hAnsi="Times New Roman" w:cs="Times New Roman"/>
          <w:b/>
          <w:bCs/>
          <w:vanish w:val="0"/>
          <w:color w:val="auto"/>
          <w:sz w:val="24"/>
          <w:szCs w:val="24"/>
          <w:highlight w:val="none"/>
          <w:lang w:val="en-US" w:eastAsia="zh-CN"/>
        </w:rPr>
        <w:t>0.</w:t>
      </w:r>
      <w:r>
        <w:rPr>
          <w:rFonts w:hint="eastAsia" w:ascii="Times New Roman" w:hAnsi="Times New Roman" w:eastAsia="宋体" w:cs="Times New Roman"/>
          <w:b/>
          <w:bCs/>
          <w:vanish w:val="0"/>
          <w:color w:val="auto"/>
          <w:sz w:val="24"/>
          <w:szCs w:val="24"/>
          <w:highlight w:val="none"/>
          <w:lang w:val="en-US" w:eastAsia="zh-CN"/>
        </w:rPr>
        <w:t xml:space="preserve">1 </w:t>
      </w:r>
      <w:r>
        <w:rPr>
          <w:rFonts w:hint="eastAsia" w:ascii="宋体" w:hAnsi="宋体" w:eastAsia="宋体" w:cs="宋体"/>
          <w:vanish w:val="0"/>
          <w:color w:val="auto"/>
          <w:sz w:val="24"/>
          <w:szCs w:val="24"/>
          <w:highlight w:val="none"/>
          <w:lang w:val="en-US" w:eastAsia="zh-CN"/>
        </w:rPr>
        <w:t xml:space="preserve"> 应建立公寓管理服务工作规程以及入住及退房流程，使客户安心入住、舒</w:t>
      </w:r>
      <w:r>
        <w:rPr>
          <w:rFonts w:hint="eastAsia" w:ascii="宋体" w:hAnsi="宋体" w:cs="宋体"/>
          <w:vanish w:val="0"/>
          <w:color w:val="auto"/>
          <w:sz w:val="24"/>
          <w:szCs w:val="24"/>
          <w:highlight w:val="none"/>
          <w:lang w:val="en-US" w:eastAsia="zh-CN"/>
        </w:rPr>
        <w:t>适</w:t>
      </w:r>
      <w:r>
        <w:rPr>
          <w:rFonts w:hint="eastAsia" w:ascii="宋体" w:hAnsi="宋体" w:eastAsia="宋体" w:cs="宋体"/>
          <w:vanish w:val="0"/>
          <w:color w:val="auto"/>
          <w:sz w:val="24"/>
          <w:szCs w:val="24"/>
          <w:highlight w:val="none"/>
          <w:lang w:val="en-US" w:eastAsia="zh-CN"/>
        </w:rPr>
        <w:t>住房和快速退房，做到流程简便、顺畅、无错漏；房态信息更新无误、及时。</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15.</w:t>
      </w:r>
      <w:r>
        <w:rPr>
          <w:rFonts w:hint="eastAsia" w:ascii="Times New Roman" w:hAnsi="Times New Roman" w:cs="Times New Roman"/>
          <w:b/>
          <w:bCs/>
          <w:vanish w:val="0"/>
          <w:color w:val="auto"/>
          <w:sz w:val="24"/>
          <w:szCs w:val="24"/>
          <w:highlight w:val="none"/>
          <w:lang w:val="en-US" w:eastAsia="zh-CN"/>
        </w:rPr>
        <w:t>0.</w:t>
      </w:r>
      <w:r>
        <w:rPr>
          <w:rFonts w:hint="eastAsia" w:ascii="Times New Roman" w:hAnsi="Times New Roman" w:eastAsia="宋体" w:cs="Times New Roman"/>
          <w:b/>
          <w:bCs/>
          <w:vanish w:val="0"/>
          <w:color w:val="auto"/>
          <w:sz w:val="24"/>
          <w:szCs w:val="24"/>
          <w:highlight w:val="none"/>
          <w:lang w:val="en-US" w:eastAsia="zh-CN"/>
        </w:rPr>
        <w:t xml:space="preserve">2 </w:t>
      </w:r>
      <w:r>
        <w:rPr>
          <w:rFonts w:hint="eastAsia" w:ascii="宋体" w:hAnsi="宋体" w:eastAsia="宋体" w:cs="宋体"/>
          <w:vanish w:val="0"/>
          <w:color w:val="auto"/>
          <w:sz w:val="24"/>
          <w:szCs w:val="24"/>
          <w:highlight w:val="none"/>
          <w:lang w:val="en-US" w:eastAsia="zh-CN"/>
        </w:rPr>
        <w:t xml:space="preserve"> 应设置24小时前台服务人员，接待客户做到端庄友爱，文明用语，应答尽答，耐心细致；应统一公示收费标准及注意事项并提醒客户。</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15.</w:t>
      </w:r>
      <w:r>
        <w:rPr>
          <w:rFonts w:hint="eastAsia" w:ascii="Times New Roman" w:hAnsi="Times New Roman" w:cs="Times New Roman"/>
          <w:b/>
          <w:bCs/>
          <w:vanish w:val="0"/>
          <w:color w:val="auto"/>
          <w:sz w:val="24"/>
          <w:szCs w:val="24"/>
          <w:highlight w:val="none"/>
          <w:lang w:val="en-US" w:eastAsia="zh-CN"/>
        </w:rPr>
        <w:t>0.</w:t>
      </w:r>
      <w:r>
        <w:rPr>
          <w:rFonts w:hint="eastAsia" w:ascii="Times New Roman" w:hAnsi="Times New Roman" w:eastAsia="宋体" w:cs="Times New Roman"/>
          <w:b/>
          <w:bCs/>
          <w:vanish w:val="0"/>
          <w:color w:val="auto"/>
          <w:sz w:val="24"/>
          <w:szCs w:val="24"/>
          <w:highlight w:val="none"/>
          <w:lang w:val="en-US" w:eastAsia="zh-CN"/>
        </w:rPr>
        <w:t xml:space="preserve">3 </w:t>
      </w:r>
      <w:r>
        <w:rPr>
          <w:rFonts w:hint="eastAsia" w:ascii="宋体" w:hAnsi="宋体" w:eastAsia="宋体" w:cs="宋体"/>
          <w:vanish w:val="0"/>
          <w:color w:val="auto"/>
          <w:sz w:val="24"/>
          <w:szCs w:val="24"/>
          <w:highlight w:val="none"/>
          <w:lang w:val="en-US" w:eastAsia="zh-CN"/>
        </w:rPr>
        <w:t xml:space="preserve"> 房间内设备、器具、家具应确保完好，能正常使用；做到整洁齐备，无异味，无积水、无污渍、无灰尘、无蜘蛛网。</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15.</w:t>
      </w:r>
      <w:r>
        <w:rPr>
          <w:rFonts w:hint="eastAsia" w:ascii="Times New Roman" w:hAnsi="Times New Roman" w:cs="Times New Roman"/>
          <w:b/>
          <w:bCs/>
          <w:vanish w:val="0"/>
          <w:color w:val="auto"/>
          <w:sz w:val="24"/>
          <w:szCs w:val="24"/>
          <w:highlight w:val="none"/>
          <w:lang w:val="en-US" w:eastAsia="zh-CN"/>
        </w:rPr>
        <w:t>0.</w:t>
      </w:r>
      <w:r>
        <w:rPr>
          <w:rFonts w:hint="eastAsia" w:ascii="Times New Roman" w:hAnsi="Times New Roman" w:eastAsia="宋体" w:cs="Times New Roman"/>
          <w:b/>
          <w:bCs/>
          <w:vanish w:val="0"/>
          <w:color w:val="auto"/>
          <w:sz w:val="24"/>
          <w:szCs w:val="24"/>
          <w:highlight w:val="none"/>
          <w:lang w:val="en-US" w:eastAsia="zh-CN"/>
        </w:rPr>
        <w:t>4</w:t>
      </w:r>
      <w:r>
        <w:rPr>
          <w:rFonts w:hint="eastAsia" w:ascii="宋体" w:hAnsi="宋体" w:eastAsia="宋体" w:cs="宋体"/>
          <w:vanish w:val="0"/>
          <w:color w:val="auto"/>
          <w:sz w:val="24"/>
          <w:szCs w:val="24"/>
          <w:highlight w:val="none"/>
          <w:lang w:val="en-US" w:eastAsia="zh-CN"/>
        </w:rPr>
        <w:t xml:space="preserve">  应定期更换布草，做到干净整洁，无破损，无异味，无污渍、张铺规范。一次性消耗品做到及时更换、补充；摆放整洁得体。</w:t>
      </w:r>
    </w:p>
    <w:p>
      <w:pPr>
        <w:pStyle w:val="2"/>
        <w:keepNext w:val="0"/>
        <w:keepLines w:val="0"/>
        <w:pageBreakBefore/>
        <w:spacing w:line="240" w:lineRule="auto"/>
        <w:jc w:val="center"/>
        <w:rPr>
          <w:rFonts w:hint="eastAsia" w:ascii="Times New Roman" w:hAnsi="Times New Roman" w:eastAsia="宋体" w:cs="Times New Roman"/>
          <w:sz w:val="30"/>
          <w:highlight w:val="none"/>
          <w:lang w:val="en-US" w:eastAsia="zh-CN"/>
        </w:rPr>
      </w:pPr>
      <w:bookmarkStart w:id="360" w:name="_Toc19711"/>
      <w:bookmarkStart w:id="361" w:name="_Toc1581"/>
      <w:r>
        <w:rPr>
          <w:rFonts w:hint="eastAsia" w:ascii="Times New Roman" w:hAnsi="Times New Roman" w:eastAsia="宋体" w:cs="Times New Roman"/>
          <w:sz w:val="30"/>
          <w:highlight w:val="none"/>
          <w:lang w:val="en-US" w:eastAsia="zh-CN"/>
        </w:rPr>
        <w:t xml:space="preserve">16  </w:t>
      </w:r>
      <w:r>
        <w:rPr>
          <w:rFonts w:hint="eastAsia" w:ascii="Times New Roman" w:hAnsi="Times New Roman" w:eastAsia="宋体" w:cs="Times New Roman"/>
          <w:b w:val="0"/>
          <w:bCs w:val="0"/>
          <w:sz w:val="30"/>
          <w:highlight w:val="none"/>
          <w:lang w:val="en-US" w:eastAsia="zh-CN"/>
        </w:rPr>
        <w:t>绿色物业管理</w:t>
      </w:r>
      <w:bookmarkEnd w:id="360"/>
      <w:bookmarkEnd w:id="361"/>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16.</w:t>
      </w:r>
      <w:r>
        <w:rPr>
          <w:rFonts w:hint="eastAsia" w:ascii="Times New Roman" w:hAnsi="Times New Roman" w:cs="Times New Roman"/>
          <w:b/>
          <w:bCs/>
          <w:vanish w:val="0"/>
          <w:color w:val="auto"/>
          <w:sz w:val="24"/>
          <w:szCs w:val="24"/>
          <w:highlight w:val="none"/>
          <w:lang w:val="en-US" w:eastAsia="zh-CN"/>
        </w:rPr>
        <w:t>0.</w:t>
      </w:r>
      <w:r>
        <w:rPr>
          <w:rFonts w:hint="eastAsia" w:ascii="Times New Roman" w:hAnsi="Times New Roman" w:eastAsia="宋体" w:cs="Times New Roman"/>
          <w:b/>
          <w:bCs/>
          <w:vanish w:val="0"/>
          <w:color w:val="auto"/>
          <w:sz w:val="24"/>
          <w:szCs w:val="24"/>
          <w:highlight w:val="none"/>
          <w:lang w:val="en-US" w:eastAsia="zh-CN"/>
        </w:rPr>
        <w:t>1</w:t>
      </w:r>
      <w:r>
        <w:rPr>
          <w:rFonts w:hint="eastAsia" w:ascii="宋体" w:hAnsi="宋体" w:eastAsia="宋体" w:cs="宋体"/>
          <w:vanish w:val="0"/>
          <w:color w:val="auto"/>
          <w:sz w:val="24"/>
          <w:szCs w:val="24"/>
          <w:highlight w:val="none"/>
          <w:lang w:val="en-US" w:eastAsia="zh-CN"/>
        </w:rPr>
        <w:t xml:space="preserve">  积极开展节约能源资源、保护生态环境的实践活动，</w:t>
      </w:r>
      <w:r>
        <w:rPr>
          <w:rFonts w:hint="default" w:ascii="宋体" w:hAnsi="宋体" w:eastAsia="宋体" w:cs="宋体"/>
          <w:vanish w:val="0"/>
          <w:color w:val="auto"/>
          <w:sz w:val="24"/>
          <w:szCs w:val="24"/>
          <w:highlight w:val="none"/>
          <w:lang w:val="en-US" w:eastAsia="zh-CN"/>
        </w:rPr>
        <w:t>建设低碳科普教育基地</w:t>
      </w:r>
      <w:r>
        <w:rPr>
          <w:rFonts w:hint="eastAsia" w:ascii="宋体" w:hAnsi="宋体" w:eastAsia="宋体" w:cs="宋体"/>
          <w:vanish w:val="0"/>
          <w:color w:val="auto"/>
          <w:sz w:val="24"/>
          <w:szCs w:val="24"/>
          <w:highlight w:val="none"/>
          <w:lang w:val="en-US" w:eastAsia="zh-CN"/>
        </w:rPr>
        <w:t>,做好绿色物业管理的教育宣传。</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16.</w:t>
      </w:r>
      <w:r>
        <w:rPr>
          <w:rFonts w:hint="eastAsia" w:ascii="Times New Roman" w:hAnsi="Times New Roman" w:cs="Times New Roman"/>
          <w:b/>
          <w:bCs/>
          <w:vanish w:val="0"/>
          <w:color w:val="auto"/>
          <w:sz w:val="24"/>
          <w:szCs w:val="24"/>
          <w:highlight w:val="none"/>
          <w:lang w:val="en-US" w:eastAsia="zh-CN"/>
        </w:rPr>
        <w:t>0.</w:t>
      </w:r>
      <w:r>
        <w:rPr>
          <w:rFonts w:hint="eastAsia" w:ascii="Times New Roman" w:hAnsi="Times New Roman" w:eastAsia="宋体" w:cs="Times New Roman"/>
          <w:b/>
          <w:bCs/>
          <w:vanish w:val="0"/>
          <w:color w:val="auto"/>
          <w:sz w:val="24"/>
          <w:szCs w:val="24"/>
          <w:highlight w:val="none"/>
          <w:lang w:val="en-US" w:eastAsia="zh-CN"/>
        </w:rPr>
        <w:t xml:space="preserve">2 </w:t>
      </w:r>
      <w:r>
        <w:rPr>
          <w:rFonts w:hint="eastAsia" w:ascii="宋体" w:hAnsi="宋体" w:eastAsia="宋体" w:cs="宋体"/>
          <w:vanish w:val="0"/>
          <w:color w:val="auto"/>
          <w:sz w:val="24"/>
          <w:szCs w:val="24"/>
          <w:highlight w:val="none"/>
          <w:lang w:val="en-US" w:eastAsia="zh-CN"/>
        </w:rPr>
        <w:t xml:space="preserve"> 科学实施节约用电、节约用水、垃圾分类管理、</w:t>
      </w:r>
      <w:r>
        <w:rPr>
          <w:rFonts w:hint="default" w:ascii="宋体" w:hAnsi="宋体" w:eastAsia="宋体" w:cs="宋体"/>
          <w:vanish w:val="0"/>
          <w:color w:val="auto"/>
          <w:sz w:val="24"/>
          <w:szCs w:val="24"/>
          <w:highlight w:val="none"/>
          <w:lang w:val="en-US" w:eastAsia="zh-CN"/>
        </w:rPr>
        <w:t>资源回收</w:t>
      </w:r>
      <w:r>
        <w:rPr>
          <w:rFonts w:hint="eastAsia" w:ascii="宋体" w:hAnsi="宋体" w:eastAsia="宋体" w:cs="宋体"/>
          <w:vanish w:val="0"/>
          <w:color w:val="auto"/>
          <w:sz w:val="24"/>
          <w:szCs w:val="24"/>
          <w:highlight w:val="none"/>
          <w:lang w:val="en-US" w:eastAsia="zh-CN"/>
        </w:rPr>
        <w:t>、污染防治、降低碳排放等措施,做好项目</w:t>
      </w:r>
      <w:r>
        <w:rPr>
          <w:rFonts w:hint="default" w:ascii="宋体" w:hAnsi="宋体" w:eastAsia="宋体" w:cs="宋体"/>
          <w:vanish w:val="0"/>
          <w:color w:val="auto"/>
          <w:sz w:val="24"/>
          <w:szCs w:val="24"/>
          <w:highlight w:val="none"/>
          <w:lang w:val="en-US" w:eastAsia="zh-CN"/>
        </w:rPr>
        <w:t>绿化碳汇建设</w:t>
      </w:r>
      <w:r>
        <w:rPr>
          <w:rFonts w:hint="eastAsia" w:ascii="宋体" w:hAnsi="宋体" w:eastAsia="宋体" w:cs="宋体"/>
          <w:vanish w:val="0"/>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16.</w:t>
      </w:r>
      <w:r>
        <w:rPr>
          <w:rFonts w:hint="eastAsia" w:ascii="Times New Roman" w:hAnsi="Times New Roman" w:cs="Times New Roman"/>
          <w:b/>
          <w:bCs/>
          <w:vanish w:val="0"/>
          <w:color w:val="auto"/>
          <w:sz w:val="24"/>
          <w:szCs w:val="24"/>
          <w:highlight w:val="none"/>
          <w:lang w:val="en-US" w:eastAsia="zh-CN"/>
        </w:rPr>
        <w:t>0.</w:t>
      </w:r>
      <w:r>
        <w:rPr>
          <w:rFonts w:hint="eastAsia" w:ascii="Times New Roman" w:hAnsi="Times New Roman" w:eastAsia="宋体" w:cs="Times New Roman"/>
          <w:b/>
          <w:bCs/>
          <w:vanish w:val="0"/>
          <w:color w:val="auto"/>
          <w:sz w:val="24"/>
          <w:szCs w:val="24"/>
          <w:highlight w:val="none"/>
          <w:lang w:val="en-US" w:eastAsia="zh-CN"/>
        </w:rPr>
        <w:t xml:space="preserve">3 </w:t>
      </w:r>
      <w:r>
        <w:rPr>
          <w:rFonts w:hint="eastAsia" w:ascii="宋体" w:hAnsi="宋体" w:eastAsia="宋体" w:cs="宋体"/>
          <w:vanish w:val="0"/>
          <w:color w:val="auto"/>
          <w:sz w:val="24"/>
          <w:szCs w:val="24"/>
          <w:highlight w:val="none"/>
          <w:lang w:val="en-US" w:eastAsia="zh-CN"/>
        </w:rPr>
        <w:t xml:space="preserve"> 不使用国家《高能耗落后机电设备（产品）淘汰目录》中列出的设备（产品）。</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16.</w:t>
      </w:r>
      <w:r>
        <w:rPr>
          <w:rFonts w:hint="eastAsia" w:ascii="Times New Roman" w:hAnsi="Times New Roman" w:cs="Times New Roman"/>
          <w:b/>
          <w:bCs/>
          <w:vanish w:val="0"/>
          <w:color w:val="auto"/>
          <w:sz w:val="24"/>
          <w:szCs w:val="24"/>
          <w:highlight w:val="none"/>
          <w:lang w:val="en-US" w:eastAsia="zh-CN"/>
        </w:rPr>
        <w:t>0.</w:t>
      </w:r>
      <w:r>
        <w:rPr>
          <w:rFonts w:hint="eastAsia" w:ascii="Times New Roman" w:hAnsi="Times New Roman" w:eastAsia="宋体" w:cs="Times New Roman"/>
          <w:b/>
          <w:bCs/>
          <w:vanish w:val="0"/>
          <w:color w:val="auto"/>
          <w:sz w:val="24"/>
          <w:szCs w:val="24"/>
          <w:highlight w:val="none"/>
          <w:lang w:val="en-US" w:eastAsia="zh-CN"/>
        </w:rPr>
        <w:t xml:space="preserve">4 </w:t>
      </w:r>
      <w:r>
        <w:rPr>
          <w:rFonts w:hint="eastAsia" w:ascii="宋体" w:hAnsi="宋体" w:eastAsia="宋体" w:cs="宋体"/>
          <w:vanish w:val="0"/>
          <w:color w:val="auto"/>
          <w:sz w:val="24"/>
          <w:szCs w:val="24"/>
          <w:highlight w:val="none"/>
          <w:lang w:val="en-US" w:eastAsia="zh-CN"/>
        </w:rPr>
        <w:t xml:space="preserve"> 根据技术的进步，及时淘汰老旧用电、用水等设施，更新节能新产品。</w:t>
      </w:r>
    </w:p>
    <w:p>
      <w:pPr>
        <w:pStyle w:val="2"/>
        <w:keepNext w:val="0"/>
        <w:keepLines w:val="0"/>
        <w:pageBreakBefore/>
        <w:spacing w:line="240" w:lineRule="auto"/>
        <w:jc w:val="center"/>
        <w:rPr>
          <w:rFonts w:hint="default" w:ascii="Times New Roman" w:hAnsi="Times New Roman" w:eastAsia="宋体" w:cs="Times New Roman"/>
          <w:sz w:val="30"/>
          <w:highlight w:val="none"/>
          <w:lang w:val="en-US" w:eastAsia="zh-CN"/>
        </w:rPr>
      </w:pPr>
      <w:bookmarkStart w:id="362" w:name="_Toc23852"/>
      <w:bookmarkStart w:id="363" w:name="_Toc30306"/>
      <w:r>
        <w:rPr>
          <w:rFonts w:hint="eastAsia" w:ascii="Times New Roman" w:hAnsi="Times New Roman" w:eastAsia="宋体" w:cs="Times New Roman"/>
          <w:sz w:val="30"/>
          <w:highlight w:val="none"/>
          <w:lang w:val="en-US" w:eastAsia="zh-CN"/>
        </w:rPr>
        <w:t xml:space="preserve">17  </w:t>
      </w:r>
      <w:r>
        <w:rPr>
          <w:rFonts w:hint="eastAsia" w:ascii="Times New Roman" w:hAnsi="Times New Roman" w:eastAsia="宋体" w:cs="Times New Roman"/>
          <w:b w:val="0"/>
          <w:bCs w:val="0"/>
          <w:sz w:val="30"/>
          <w:highlight w:val="none"/>
          <w:lang w:val="en-US" w:eastAsia="zh-CN"/>
        </w:rPr>
        <w:t>智</w:t>
      </w:r>
      <w:r>
        <w:rPr>
          <w:rFonts w:hint="eastAsia" w:cs="Times New Roman"/>
          <w:b w:val="0"/>
          <w:bCs w:val="0"/>
          <w:sz w:val="30"/>
          <w:highlight w:val="none"/>
          <w:lang w:val="en-US" w:eastAsia="zh-CN"/>
        </w:rPr>
        <w:t xml:space="preserve">  </w:t>
      </w:r>
      <w:r>
        <w:rPr>
          <w:rFonts w:hint="eastAsia" w:ascii="Times New Roman" w:hAnsi="Times New Roman" w:eastAsia="宋体" w:cs="Times New Roman"/>
          <w:b w:val="0"/>
          <w:bCs w:val="0"/>
          <w:sz w:val="30"/>
          <w:highlight w:val="none"/>
          <w:lang w:val="en-US" w:eastAsia="zh-CN"/>
        </w:rPr>
        <w:t>慧</w:t>
      </w:r>
      <w:r>
        <w:rPr>
          <w:rFonts w:hint="eastAsia" w:cs="Times New Roman"/>
          <w:b w:val="0"/>
          <w:bCs w:val="0"/>
          <w:sz w:val="30"/>
          <w:highlight w:val="none"/>
          <w:lang w:val="en-US" w:eastAsia="zh-CN"/>
        </w:rPr>
        <w:t xml:space="preserve">  </w:t>
      </w:r>
      <w:r>
        <w:rPr>
          <w:rFonts w:hint="eastAsia" w:ascii="Times New Roman" w:hAnsi="Times New Roman" w:eastAsia="宋体" w:cs="Times New Roman"/>
          <w:b w:val="0"/>
          <w:bCs w:val="0"/>
          <w:sz w:val="30"/>
          <w:highlight w:val="none"/>
          <w:lang w:val="en-US" w:eastAsia="zh-CN"/>
        </w:rPr>
        <w:t>物</w:t>
      </w:r>
      <w:r>
        <w:rPr>
          <w:rFonts w:hint="eastAsia" w:cs="Times New Roman"/>
          <w:b w:val="0"/>
          <w:bCs w:val="0"/>
          <w:sz w:val="30"/>
          <w:highlight w:val="none"/>
          <w:lang w:val="en-US" w:eastAsia="zh-CN"/>
        </w:rPr>
        <w:t xml:space="preserve">  </w:t>
      </w:r>
      <w:r>
        <w:rPr>
          <w:rFonts w:hint="eastAsia" w:ascii="Times New Roman" w:hAnsi="Times New Roman" w:eastAsia="宋体" w:cs="Times New Roman"/>
          <w:b w:val="0"/>
          <w:bCs w:val="0"/>
          <w:sz w:val="30"/>
          <w:highlight w:val="none"/>
          <w:lang w:val="en-US" w:eastAsia="zh-CN"/>
        </w:rPr>
        <w:t>业</w:t>
      </w:r>
      <w:bookmarkEnd w:id="362"/>
      <w:bookmarkEnd w:id="363"/>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default" w:ascii="Times New Roman" w:hAnsi="Times New Roman" w:eastAsia="宋体" w:cs="Times New Roman"/>
          <w:b/>
          <w:bCs/>
          <w:vanish w:val="0"/>
          <w:color w:val="auto"/>
          <w:sz w:val="24"/>
          <w:szCs w:val="24"/>
          <w:highlight w:val="none"/>
          <w:lang w:val="en-US" w:eastAsia="zh-CN"/>
        </w:rPr>
        <w:t>17.</w:t>
      </w:r>
      <w:r>
        <w:rPr>
          <w:rFonts w:hint="eastAsia" w:ascii="Times New Roman" w:hAnsi="Times New Roman" w:cs="Times New Roman"/>
          <w:b/>
          <w:bCs/>
          <w:vanish w:val="0"/>
          <w:color w:val="auto"/>
          <w:sz w:val="24"/>
          <w:szCs w:val="24"/>
          <w:highlight w:val="none"/>
          <w:lang w:val="en-US" w:eastAsia="zh-CN"/>
        </w:rPr>
        <w:t>0.</w:t>
      </w:r>
      <w:r>
        <w:rPr>
          <w:rFonts w:hint="default" w:ascii="Times New Roman" w:hAnsi="Times New Roman" w:eastAsia="宋体" w:cs="Times New Roman"/>
          <w:b/>
          <w:bCs/>
          <w:vanish w:val="0"/>
          <w:color w:val="auto"/>
          <w:sz w:val="24"/>
          <w:szCs w:val="24"/>
          <w:highlight w:val="none"/>
          <w:lang w:val="en-US" w:eastAsia="zh-CN"/>
        </w:rPr>
        <w:t>1</w:t>
      </w:r>
      <w:r>
        <w:rPr>
          <w:rFonts w:hint="eastAsia" w:ascii="宋体" w:hAnsi="宋体" w:eastAsia="宋体" w:cs="宋体"/>
          <w:vanish w:val="0"/>
          <w:color w:val="auto"/>
          <w:sz w:val="24"/>
          <w:szCs w:val="24"/>
          <w:highlight w:val="none"/>
          <w:lang w:val="en-US" w:eastAsia="zh-CN"/>
        </w:rPr>
        <w:t>　善用物联网、大数据和人工智能技术建立智能化物业管理服务平台。</w:t>
      </w:r>
    </w:p>
    <w:p>
      <w:pPr>
        <w:keepNext w:val="0"/>
        <w:keepLines w:val="0"/>
        <w:pageBreakBefore w:val="0"/>
        <w:widowControl/>
        <w:kinsoku/>
        <w:wordWrap/>
        <w:overflowPunct/>
        <w:topLinePunct w:val="0"/>
        <w:autoSpaceDE/>
        <w:autoSpaceDN/>
        <w:bidi w:val="0"/>
        <w:adjustRightInd/>
        <w:snapToGrid w:val="0"/>
        <w:spacing w:line="360" w:lineRule="auto"/>
        <w:textAlignment w:val="auto"/>
        <w:outlineLvl w:val="1"/>
        <w:rPr>
          <w:rFonts w:hint="eastAsia" w:ascii="宋体" w:hAnsi="宋体" w:eastAsia="宋体" w:cs="宋体"/>
          <w:vanish w:val="0"/>
          <w:color w:val="auto"/>
          <w:sz w:val="24"/>
          <w:szCs w:val="24"/>
          <w:highlight w:val="none"/>
          <w:lang w:val="en-US" w:eastAsia="zh-CN"/>
        </w:rPr>
      </w:pPr>
      <w:bookmarkStart w:id="364" w:name="_Toc27213"/>
      <w:r>
        <w:rPr>
          <w:rFonts w:hint="eastAsia" w:ascii="Times New Roman" w:hAnsi="Times New Roman" w:eastAsia="宋体" w:cs="Times New Roman"/>
          <w:b/>
          <w:bCs/>
          <w:vanish w:val="0"/>
          <w:color w:val="auto"/>
          <w:sz w:val="24"/>
          <w:szCs w:val="24"/>
          <w:highlight w:val="none"/>
          <w:lang w:val="en-US" w:eastAsia="zh-CN"/>
        </w:rPr>
        <w:t>17.</w:t>
      </w:r>
      <w:r>
        <w:rPr>
          <w:rFonts w:hint="eastAsia" w:ascii="Times New Roman" w:hAnsi="Times New Roman" w:cs="Times New Roman"/>
          <w:b/>
          <w:bCs/>
          <w:vanish w:val="0"/>
          <w:color w:val="auto"/>
          <w:sz w:val="24"/>
          <w:szCs w:val="24"/>
          <w:highlight w:val="none"/>
          <w:lang w:val="en-US" w:eastAsia="zh-CN"/>
        </w:rPr>
        <w:t>0.</w:t>
      </w:r>
      <w:r>
        <w:rPr>
          <w:rFonts w:hint="eastAsia" w:ascii="Times New Roman" w:hAnsi="Times New Roman" w:eastAsia="宋体" w:cs="Times New Roman"/>
          <w:b/>
          <w:bCs/>
          <w:vanish w:val="0"/>
          <w:color w:val="auto"/>
          <w:sz w:val="24"/>
          <w:szCs w:val="24"/>
          <w:highlight w:val="none"/>
          <w:lang w:val="en-US" w:eastAsia="zh-CN"/>
        </w:rPr>
        <w:t>2</w:t>
      </w:r>
      <w:r>
        <w:rPr>
          <w:rFonts w:hint="eastAsia" w:ascii="宋体" w:hAnsi="宋体" w:eastAsia="宋体" w:cs="宋体"/>
          <w:vanish w:val="0"/>
          <w:color w:val="auto"/>
          <w:sz w:val="24"/>
          <w:szCs w:val="24"/>
          <w:highlight w:val="none"/>
          <w:lang w:val="en-US" w:eastAsia="zh-CN"/>
        </w:rPr>
        <w:t>　建立智能化办公系统，实现无纸化办公。</w:t>
      </w:r>
      <w:bookmarkEnd w:id="364"/>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17.</w:t>
      </w:r>
      <w:r>
        <w:rPr>
          <w:rFonts w:hint="eastAsia" w:ascii="Times New Roman" w:hAnsi="Times New Roman" w:cs="Times New Roman"/>
          <w:b/>
          <w:bCs/>
          <w:vanish w:val="0"/>
          <w:color w:val="auto"/>
          <w:sz w:val="24"/>
          <w:szCs w:val="24"/>
          <w:highlight w:val="none"/>
          <w:lang w:val="en-US" w:eastAsia="zh-CN"/>
        </w:rPr>
        <w:t>0.</w:t>
      </w:r>
      <w:r>
        <w:rPr>
          <w:rFonts w:hint="eastAsia" w:ascii="Times New Roman" w:hAnsi="Times New Roman" w:eastAsia="宋体" w:cs="Times New Roman"/>
          <w:b/>
          <w:bCs/>
          <w:vanish w:val="0"/>
          <w:color w:val="auto"/>
          <w:sz w:val="24"/>
          <w:szCs w:val="24"/>
          <w:highlight w:val="none"/>
          <w:lang w:val="en-US" w:eastAsia="zh-CN"/>
        </w:rPr>
        <w:t>3</w:t>
      </w:r>
      <w:r>
        <w:rPr>
          <w:rFonts w:hint="eastAsia" w:ascii="宋体" w:hAnsi="宋体" w:eastAsia="宋体" w:cs="宋体"/>
          <w:vanish w:val="0"/>
          <w:color w:val="auto"/>
          <w:sz w:val="24"/>
          <w:szCs w:val="24"/>
          <w:highlight w:val="none"/>
          <w:lang w:val="en-US" w:eastAsia="zh-CN"/>
        </w:rPr>
        <w:t>　建立客户管理系统，记录客户信息，维护客户关系，了解客户需求，跟进客户投诉。</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17.</w:t>
      </w:r>
      <w:r>
        <w:rPr>
          <w:rFonts w:hint="eastAsia" w:ascii="Times New Roman" w:hAnsi="Times New Roman" w:cs="Times New Roman"/>
          <w:b/>
          <w:bCs/>
          <w:vanish w:val="0"/>
          <w:color w:val="auto"/>
          <w:sz w:val="24"/>
          <w:szCs w:val="24"/>
          <w:highlight w:val="none"/>
          <w:lang w:val="en-US" w:eastAsia="zh-CN"/>
        </w:rPr>
        <w:t>0.</w:t>
      </w:r>
      <w:r>
        <w:rPr>
          <w:rFonts w:hint="eastAsia" w:ascii="Times New Roman" w:hAnsi="Times New Roman" w:eastAsia="宋体" w:cs="Times New Roman"/>
          <w:b/>
          <w:bCs/>
          <w:vanish w:val="0"/>
          <w:color w:val="auto"/>
          <w:sz w:val="24"/>
          <w:szCs w:val="24"/>
          <w:highlight w:val="none"/>
          <w:lang w:val="en-US" w:eastAsia="zh-CN"/>
        </w:rPr>
        <w:t>4</w:t>
      </w:r>
      <w:r>
        <w:rPr>
          <w:rFonts w:hint="eastAsia" w:ascii="宋体" w:hAnsi="宋体" w:eastAsia="宋体" w:cs="宋体"/>
          <w:vanish w:val="0"/>
          <w:color w:val="auto"/>
          <w:sz w:val="24"/>
          <w:szCs w:val="24"/>
          <w:highlight w:val="none"/>
          <w:lang w:val="en-US" w:eastAsia="zh-CN"/>
        </w:rPr>
        <w:t>　建立信息化系统平台，实现远程处理访客进出管理，停车缴费，快递配送通知，收费管理等。</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17.</w:t>
      </w:r>
      <w:r>
        <w:rPr>
          <w:rFonts w:hint="eastAsia" w:ascii="Times New Roman" w:hAnsi="Times New Roman" w:cs="Times New Roman"/>
          <w:b/>
          <w:bCs/>
          <w:vanish w:val="0"/>
          <w:color w:val="auto"/>
          <w:sz w:val="24"/>
          <w:szCs w:val="24"/>
          <w:highlight w:val="none"/>
          <w:lang w:val="en-US" w:eastAsia="zh-CN"/>
        </w:rPr>
        <w:t>0.</w:t>
      </w:r>
      <w:r>
        <w:rPr>
          <w:rFonts w:hint="eastAsia" w:ascii="Times New Roman" w:hAnsi="Times New Roman" w:eastAsia="宋体" w:cs="Times New Roman"/>
          <w:b/>
          <w:bCs/>
          <w:vanish w:val="0"/>
          <w:color w:val="auto"/>
          <w:sz w:val="24"/>
          <w:szCs w:val="24"/>
          <w:highlight w:val="none"/>
          <w:lang w:val="en-US" w:eastAsia="zh-CN"/>
        </w:rPr>
        <w:t>5</w:t>
      </w:r>
      <w:r>
        <w:rPr>
          <w:rFonts w:hint="eastAsia" w:ascii="宋体" w:hAnsi="宋体" w:eastAsia="宋体" w:cs="宋体"/>
          <w:vanish w:val="0"/>
          <w:color w:val="auto"/>
          <w:sz w:val="24"/>
          <w:szCs w:val="24"/>
          <w:highlight w:val="none"/>
          <w:lang w:val="en-US" w:eastAsia="zh-CN"/>
        </w:rPr>
        <w:t>　具备停车场智能系统，有自动识别车牌、智能动态监控、停车引导、定位寻车，移动支付缴费等功能。</w:t>
      </w:r>
    </w:p>
    <w:p>
      <w:pPr>
        <w:pStyle w:val="2"/>
        <w:keepNext w:val="0"/>
        <w:keepLines w:val="0"/>
        <w:pageBreakBefore/>
        <w:spacing w:line="240" w:lineRule="auto"/>
        <w:jc w:val="center"/>
        <w:rPr>
          <w:rFonts w:hint="default" w:ascii="Times New Roman" w:hAnsi="Times New Roman" w:eastAsia="宋体" w:cs="Times New Roman"/>
          <w:sz w:val="30"/>
          <w:highlight w:val="none"/>
          <w:lang w:val="en-US" w:eastAsia="zh-CN"/>
        </w:rPr>
      </w:pPr>
      <w:bookmarkStart w:id="365" w:name="_Toc14109"/>
      <w:r>
        <w:rPr>
          <w:rFonts w:hint="eastAsia" w:ascii="Times New Roman" w:hAnsi="Times New Roman" w:eastAsia="宋体" w:cs="Times New Roman"/>
          <w:sz w:val="30"/>
          <w:highlight w:val="none"/>
          <w:lang w:val="en-US" w:eastAsia="zh-CN"/>
        </w:rPr>
        <w:t xml:space="preserve">18  </w:t>
      </w:r>
      <w:r>
        <w:rPr>
          <w:rFonts w:hint="eastAsia" w:ascii="Times New Roman" w:hAnsi="Times New Roman" w:eastAsia="宋体" w:cs="Times New Roman"/>
          <w:b w:val="0"/>
          <w:bCs w:val="0"/>
          <w:sz w:val="30"/>
          <w:highlight w:val="none"/>
          <w:lang w:val="en-US" w:eastAsia="zh-CN"/>
        </w:rPr>
        <w:t>评</w:t>
      </w:r>
      <w:r>
        <w:rPr>
          <w:rFonts w:hint="eastAsia" w:cs="Times New Roman"/>
          <w:b w:val="0"/>
          <w:bCs w:val="0"/>
          <w:sz w:val="30"/>
          <w:highlight w:val="none"/>
          <w:lang w:val="en-US" w:eastAsia="zh-CN"/>
        </w:rPr>
        <w:t xml:space="preserve">  </w:t>
      </w:r>
      <w:r>
        <w:rPr>
          <w:rFonts w:hint="eastAsia" w:ascii="Times New Roman" w:hAnsi="Times New Roman" w:eastAsia="宋体" w:cs="Times New Roman"/>
          <w:b w:val="0"/>
          <w:bCs w:val="0"/>
          <w:sz w:val="30"/>
          <w:highlight w:val="none"/>
          <w:lang w:val="en-US" w:eastAsia="zh-CN"/>
        </w:rPr>
        <w:t>价</w:t>
      </w:r>
      <w:r>
        <w:rPr>
          <w:rFonts w:hint="eastAsia" w:cs="Times New Roman"/>
          <w:b w:val="0"/>
          <w:bCs w:val="0"/>
          <w:sz w:val="30"/>
          <w:highlight w:val="none"/>
          <w:lang w:val="en-US" w:eastAsia="zh-CN"/>
        </w:rPr>
        <w:t xml:space="preserve">  </w:t>
      </w:r>
      <w:r>
        <w:rPr>
          <w:rFonts w:hint="eastAsia" w:ascii="Times New Roman" w:hAnsi="Times New Roman" w:eastAsia="宋体" w:cs="Times New Roman"/>
          <w:b w:val="0"/>
          <w:bCs w:val="0"/>
          <w:sz w:val="30"/>
          <w:highlight w:val="none"/>
          <w:lang w:val="en-US" w:eastAsia="zh-CN"/>
        </w:rPr>
        <w:t>要</w:t>
      </w:r>
      <w:r>
        <w:rPr>
          <w:rFonts w:hint="eastAsia" w:cs="Times New Roman"/>
          <w:b w:val="0"/>
          <w:bCs w:val="0"/>
          <w:sz w:val="30"/>
          <w:highlight w:val="none"/>
          <w:lang w:val="en-US" w:eastAsia="zh-CN"/>
        </w:rPr>
        <w:t xml:space="preserve">  </w:t>
      </w:r>
      <w:r>
        <w:rPr>
          <w:rFonts w:hint="eastAsia" w:ascii="Times New Roman" w:hAnsi="Times New Roman" w:eastAsia="宋体" w:cs="Times New Roman"/>
          <w:b w:val="0"/>
          <w:bCs w:val="0"/>
          <w:sz w:val="30"/>
          <w:highlight w:val="none"/>
          <w:lang w:val="en-US" w:eastAsia="zh-CN"/>
        </w:rPr>
        <w:t>求</w:t>
      </w:r>
      <w:bookmarkEnd w:id="365"/>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366" w:name="_Toc11397"/>
      <w:r>
        <w:rPr>
          <w:rFonts w:hint="eastAsia" w:ascii="宋体" w:hAnsi="宋体" w:eastAsia="宋体" w:cs="宋体"/>
          <w:b/>
          <w:bCs/>
          <w:color w:val="auto"/>
          <w:sz w:val="24"/>
          <w:szCs w:val="24"/>
          <w:highlight w:val="none"/>
          <w:lang w:val="en-US" w:eastAsia="zh-CN"/>
        </w:rPr>
        <w:t>18.1　评价原则</w:t>
      </w:r>
      <w:bookmarkEnd w:id="366"/>
    </w:p>
    <w:p>
      <w:pPr>
        <w:pStyle w:val="20"/>
        <w:rPr>
          <w:rFonts w:hint="default" w:ascii="宋体" w:hAnsi="宋体" w:eastAsia="宋体" w:cs="宋体"/>
          <w:vanish w:val="0"/>
          <w:color w:val="auto"/>
          <w:kern w:val="2"/>
          <w:sz w:val="24"/>
          <w:szCs w:val="24"/>
          <w:highlight w:val="none"/>
          <w:lang w:val="en-US" w:eastAsia="zh-CN" w:bidi="ar-SA"/>
        </w:rPr>
      </w:pPr>
      <w:r>
        <w:rPr>
          <w:rFonts w:hint="default" w:ascii="Times New Roman" w:hAnsi="Times New Roman" w:eastAsia="宋体" w:cs="Times New Roman"/>
          <w:b/>
          <w:bCs/>
          <w:vanish w:val="0"/>
          <w:color w:val="auto"/>
          <w:sz w:val="24"/>
          <w:szCs w:val="24"/>
          <w:highlight w:val="none"/>
          <w:lang w:val="en-US" w:eastAsia="zh-CN"/>
        </w:rPr>
        <w:t>18.</w:t>
      </w:r>
      <w:r>
        <w:rPr>
          <w:rFonts w:hint="eastAsia" w:cs="Times New Roman"/>
          <w:b/>
          <w:bCs/>
          <w:vanish w:val="0"/>
          <w:color w:val="auto"/>
          <w:sz w:val="24"/>
          <w:szCs w:val="24"/>
          <w:highlight w:val="none"/>
          <w:lang w:val="en-US" w:eastAsia="zh-CN"/>
        </w:rPr>
        <w:t>1</w:t>
      </w:r>
      <w:r>
        <w:rPr>
          <w:rFonts w:hint="default" w:ascii="Times New Roman" w:hAnsi="Times New Roman" w:eastAsia="宋体" w:cs="Times New Roman"/>
          <w:b/>
          <w:bCs/>
          <w:vanish w:val="0"/>
          <w:color w:val="auto"/>
          <w:sz w:val="24"/>
          <w:szCs w:val="24"/>
          <w:highlight w:val="none"/>
          <w:lang w:val="en-US" w:eastAsia="zh-CN"/>
        </w:rPr>
        <w:t>.1</w:t>
      </w:r>
      <w:r>
        <w:rPr>
          <w:rFonts w:hint="eastAsia" w:ascii="宋体" w:hAnsi="宋体" w:eastAsia="宋体" w:cs="宋体"/>
          <w:vanish w:val="0"/>
          <w:color w:val="auto"/>
          <w:sz w:val="24"/>
          <w:szCs w:val="24"/>
          <w:highlight w:val="none"/>
          <w:lang w:val="en-US" w:eastAsia="zh-CN"/>
        </w:rPr>
        <w:t>　</w:t>
      </w:r>
      <w:r>
        <w:rPr>
          <w:rFonts w:hint="eastAsia" w:ascii="宋体" w:hAnsi="宋体" w:eastAsia="宋体" w:cs="宋体"/>
          <w:vanish w:val="0"/>
          <w:color w:val="auto"/>
          <w:kern w:val="2"/>
          <w:sz w:val="24"/>
          <w:szCs w:val="24"/>
          <w:highlight w:val="none"/>
          <w:lang w:val="en-US" w:eastAsia="zh-CN" w:bidi="ar-SA"/>
        </w:rPr>
        <w:t>评价工作应当遵循公平、公正、公开的原则。</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eastAsia="宋体" w:cs="宋体"/>
          <w:b/>
          <w:bCs/>
          <w:color w:val="auto"/>
          <w:sz w:val="24"/>
          <w:szCs w:val="24"/>
          <w:highlight w:val="none"/>
          <w:lang w:val="en-US" w:eastAsia="zh-CN"/>
        </w:rPr>
      </w:pPr>
      <w:bookmarkStart w:id="367" w:name="_Toc20347"/>
      <w:r>
        <w:rPr>
          <w:rFonts w:hint="eastAsia" w:ascii="宋体" w:hAnsi="宋体" w:eastAsia="宋体" w:cs="宋体"/>
          <w:b/>
          <w:bCs/>
          <w:color w:val="auto"/>
          <w:sz w:val="24"/>
          <w:szCs w:val="24"/>
          <w:highlight w:val="none"/>
          <w:lang w:val="en-US" w:eastAsia="zh-CN"/>
        </w:rPr>
        <w:t>18.2　评价主体及对象</w:t>
      </w:r>
      <w:bookmarkEnd w:id="367"/>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default" w:ascii="Times New Roman" w:hAnsi="Times New Roman" w:eastAsia="宋体" w:cs="Times New Roman"/>
          <w:b/>
          <w:bCs/>
          <w:vanish w:val="0"/>
          <w:color w:val="auto"/>
          <w:sz w:val="24"/>
          <w:szCs w:val="24"/>
          <w:highlight w:val="none"/>
          <w:lang w:val="en-US" w:eastAsia="zh-CN"/>
        </w:rPr>
        <w:t>18.2.1</w:t>
      </w:r>
      <w:r>
        <w:rPr>
          <w:rFonts w:hint="eastAsia" w:ascii="宋体" w:hAnsi="宋体" w:eastAsia="宋体" w:cs="宋体"/>
          <w:vanish w:val="0"/>
          <w:color w:val="auto"/>
          <w:sz w:val="24"/>
          <w:szCs w:val="24"/>
          <w:highlight w:val="none"/>
          <w:lang w:val="en-US" w:eastAsia="zh-CN"/>
        </w:rPr>
        <w:t>　评价的主体为行业主管部门、行业协会、物业服务企业的上级单位、物业服务企业。</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18.2.2</w:t>
      </w:r>
      <w:r>
        <w:rPr>
          <w:rFonts w:hint="eastAsia" w:ascii="宋体" w:hAnsi="宋体" w:eastAsia="宋体" w:cs="宋体"/>
          <w:vanish w:val="0"/>
          <w:color w:val="auto"/>
          <w:sz w:val="24"/>
          <w:szCs w:val="24"/>
          <w:highlight w:val="none"/>
          <w:lang w:val="en-US" w:eastAsia="zh-CN"/>
        </w:rPr>
        <w:t>　评价的对象为物业企业提供服务的电力工业物业服务项目。</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368" w:name="_Toc22782"/>
      <w:r>
        <w:rPr>
          <w:rFonts w:hint="eastAsia" w:ascii="宋体" w:hAnsi="宋体" w:eastAsia="宋体" w:cs="宋体"/>
          <w:b/>
          <w:bCs/>
          <w:color w:val="auto"/>
          <w:sz w:val="24"/>
          <w:szCs w:val="24"/>
          <w:highlight w:val="none"/>
          <w:lang w:val="en-US" w:eastAsia="zh-CN"/>
        </w:rPr>
        <w:t>18.3　评价方式</w:t>
      </w:r>
      <w:bookmarkEnd w:id="368"/>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default" w:ascii="Times New Roman" w:hAnsi="Times New Roman" w:eastAsia="宋体" w:cs="Times New Roman"/>
          <w:b/>
          <w:bCs/>
          <w:vanish w:val="0"/>
          <w:color w:val="auto"/>
          <w:sz w:val="24"/>
          <w:szCs w:val="24"/>
          <w:highlight w:val="none"/>
          <w:lang w:val="en-US" w:eastAsia="zh-CN"/>
        </w:rPr>
        <w:t>18.</w:t>
      </w:r>
      <w:r>
        <w:rPr>
          <w:rFonts w:hint="eastAsia" w:ascii="Times New Roman" w:hAnsi="Times New Roman" w:eastAsia="宋体" w:cs="Times New Roman"/>
          <w:b/>
          <w:bCs/>
          <w:vanish w:val="0"/>
          <w:color w:val="auto"/>
          <w:sz w:val="24"/>
          <w:szCs w:val="24"/>
          <w:highlight w:val="none"/>
          <w:lang w:val="en-US" w:eastAsia="zh-CN"/>
        </w:rPr>
        <w:t>3</w:t>
      </w:r>
      <w:r>
        <w:rPr>
          <w:rFonts w:hint="default" w:ascii="Times New Roman" w:hAnsi="Times New Roman" w:eastAsia="宋体" w:cs="Times New Roman"/>
          <w:b/>
          <w:bCs/>
          <w:vanish w:val="0"/>
          <w:color w:val="auto"/>
          <w:sz w:val="24"/>
          <w:szCs w:val="24"/>
          <w:highlight w:val="none"/>
          <w:lang w:val="en-US" w:eastAsia="zh-CN"/>
        </w:rPr>
        <w:t>.1</w:t>
      </w:r>
      <w:r>
        <w:rPr>
          <w:rFonts w:hint="eastAsia" w:ascii="Times New Roman" w:hAnsi="Times New Roman" w:cs="Times New Roman"/>
          <w:b/>
          <w:bCs/>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评价分为定期现场检查、不定期现场检查两种方式。定期现场检查每个自然年度至少一次，检查范围覆盖本文所有服务内容。</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eastAsia="宋体" w:cs="宋体"/>
          <w:b/>
          <w:bCs/>
          <w:color w:val="auto"/>
          <w:sz w:val="24"/>
          <w:szCs w:val="24"/>
          <w:highlight w:val="none"/>
          <w:lang w:val="en-US" w:eastAsia="zh-CN"/>
        </w:rPr>
      </w:pPr>
      <w:bookmarkStart w:id="369" w:name="_Toc12659"/>
      <w:r>
        <w:rPr>
          <w:rFonts w:hint="eastAsia" w:ascii="宋体" w:hAnsi="宋体" w:eastAsia="宋体" w:cs="宋体"/>
          <w:b/>
          <w:bCs/>
          <w:color w:val="auto"/>
          <w:sz w:val="24"/>
          <w:szCs w:val="24"/>
          <w:highlight w:val="none"/>
          <w:lang w:val="en-US" w:eastAsia="zh-CN"/>
        </w:rPr>
        <w:t>18.4　评价结果</w:t>
      </w:r>
      <w:bookmarkEnd w:id="369"/>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default" w:ascii="Times New Roman" w:hAnsi="Times New Roman" w:eastAsia="宋体" w:cs="Times New Roman"/>
          <w:b/>
          <w:bCs/>
          <w:vanish w:val="0"/>
          <w:color w:val="auto"/>
          <w:sz w:val="24"/>
          <w:szCs w:val="24"/>
          <w:highlight w:val="none"/>
          <w:lang w:val="en-US" w:eastAsia="zh-CN"/>
        </w:rPr>
        <w:t>18.</w:t>
      </w:r>
      <w:r>
        <w:rPr>
          <w:rFonts w:hint="eastAsia" w:ascii="Times New Roman" w:hAnsi="Times New Roman" w:eastAsia="宋体" w:cs="Times New Roman"/>
          <w:b/>
          <w:bCs/>
          <w:vanish w:val="0"/>
          <w:color w:val="auto"/>
          <w:sz w:val="24"/>
          <w:szCs w:val="24"/>
          <w:highlight w:val="none"/>
          <w:lang w:val="en-US" w:eastAsia="zh-CN"/>
        </w:rPr>
        <w:t>4</w:t>
      </w:r>
      <w:r>
        <w:rPr>
          <w:rFonts w:hint="default" w:ascii="Times New Roman" w:hAnsi="Times New Roman" w:eastAsia="宋体" w:cs="Times New Roman"/>
          <w:b/>
          <w:bCs/>
          <w:vanish w:val="0"/>
          <w:color w:val="auto"/>
          <w:sz w:val="24"/>
          <w:szCs w:val="24"/>
          <w:highlight w:val="none"/>
          <w:lang w:val="en-US" w:eastAsia="zh-CN"/>
        </w:rPr>
        <w:t>.1</w:t>
      </w:r>
      <w:r>
        <w:rPr>
          <w:rFonts w:hint="eastAsia" w:ascii="Times New Roman" w:hAnsi="Times New Roman" w:cs="Times New Roman"/>
          <w:b/>
          <w:bCs/>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行业协会通过定期、不定期现场检查，按照本文件确定电力工业物业服务等级并进行公示。</w:t>
      </w:r>
    </w:p>
    <w:p>
      <w:pPr>
        <w:pStyle w:val="20"/>
        <w:rPr>
          <w:rFonts w:hint="eastAsia" w:ascii="宋体" w:hAnsi="宋体" w:eastAsia="宋体" w:cs="宋体"/>
          <w:color w:val="auto"/>
          <w:sz w:val="21"/>
          <w:szCs w:val="21"/>
          <w:highlight w:val="none"/>
          <w:lang w:val="en-US" w:eastAsia="zh-CN"/>
        </w:rPr>
      </w:pPr>
    </w:p>
    <w:p>
      <w:pPr>
        <w:pStyle w:val="20"/>
        <w:rPr>
          <w:rFonts w:hint="eastAsia" w:ascii="宋体" w:hAnsi="宋体" w:eastAsia="宋体" w:cs="宋体"/>
          <w:color w:val="auto"/>
          <w:sz w:val="21"/>
          <w:szCs w:val="21"/>
          <w:highlight w:val="none"/>
          <w:lang w:val="en-US" w:eastAsia="zh-CN"/>
        </w:rPr>
      </w:pPr>
    </w:p>
    <w:p>
      <w:pPr>
        <w:pStyle w:val="20"/>
        <w:rPr>
          <w:rFonts w:hint="eastAsia" w:ascii="宋体" w:hAnsi="宋体" w:eastAsia="宋体" w:cs="宋体"/>
          <w:color w:val="auto"/>
          <w:sz w:val="21"/>
          <w:szCs w:val="21"/>
          <w:highlight w:val="none"/>
          <w:lang w:val="en-US" w:eastAsia="zh-CN"/>
        </w:rPr>
      </w:pPr>
    </w:p>
    <w:p>
      <w:pPr>
        <w:pStyle w:val="20"/>
        <w:rPr>
          <w:rFonts w:hint="eastAsia" w:ascii="宋体" w:hAnsi="宋体" w:eastAsia="宋体" w:cs="宋体"/>
          <w:color w:val="auto"/>
          <w:sz w:val="21"/>
          <w:szCs w:val="21"/>
          <w:highlight w:val="none"/>
          <w:lang w:val="en-US" w:eastAsia="zh-CN"/>
        </w:rPr>
      </w:pPr>
    </w:p>
    <w:p>
      <w:pPr>
        <w:pStyle w:val="20"/>
        <w:rPr>
          <w:rFonts w:hint="eastAsia" w:ascii="宋体" w:hAnsi="宋体" w:eastAsia="宋体" w:cs="宋体"/>
          <w:color w:val="auto"/>
          <w:sz w:val="21"/>
          <w:szCs w:val="21"/>
          <w:highlight w:val="none"/>
          <w:lang w:val="en-US" w:eastAsia="zh-CN"/>
        </w:rPr>
      </w:pPr>
    </w:p>
    <w:p>
      <w:pPr>
        <w:pStyle w:val="20"/>
        <w:rPr>
          <w:rFonts w:hint="eastAsia" w:ascii="宋体" w:hAnsi="宋体" w:eastAsia="宋体" w:cs="宋体"/>
          <w:color w:val="auto"/>
          <w:sz w:val="21"/>
          <w:szCs w:val="21"/>
          <w:highlight w:val="none"/>
          <w:lang w:val="en-US" w:eastAsia="zh-CN"/>
        </w:rPr>
      </w:pPr>
    </w:p>
    <w:p>
      <w:pPr>
        <w:pStyle w:val="20"/>
        <w:rPr>
          <w:rFonts w:hint="eastAsia" w:ascii="宋体" w:hAnsi="宋体" w:eastAsia="宋体" w:cs="宋体"/>
          <w:color w:val="auto"/>
          <w:sz w:val="21"/>
          <w:szCs w:val="21"/>
          <w:highlight w:val="none"/>
          <w:lang w:val="en-US" w:eastAsia="zh-CN"/>
        </w:rPr>
      </w:pPr>
    </w:p>
    <w:p>
      <w:pPr>
        <w:pStyle w:val="20"/>
        <w:rPr>
          <w:rFonts w:hint="eastAsia" w:ascii="宋体" w:hAnsi="宋体" w:eastAsia="宋体" w:cs="宋体"/>
          <w:color w:val="auto"/>
          <w:sz w:val="21"/>
          <w:szCs w:val="21"/>
          <w:highlight w:val="none"/>
          <w:lang w:val="en-US" w:eastAsia="zh-CN"/>
        </w:rPr>
      </w:pPr>
    </w:p>
    <w:p>
      <w:pPr>
        <w:pStyle w:val="20"/>
        <w:rPr>
          <w:rFonts w:hint="eastAsia" w:ascii="宋体" w:hAnsi="宋体" w:eastAsia="宋体" w:cs="宋体"/>
          <w:color w:val="auto"/>
          <w:sz w:val="21"/>
          <w:szCs w:val="21"/>
          <w:highlight w:val="none"/>
          <w:lang w:val="en-US" w:eastAsia="zh-CN"/>
        </w:rPr>
      </w:pPr>
    </w:p>
    <w:p>
      <w:pPr>
        <w:pStyle w:val="20"/>
        <w:rPr>
          <w:rFonts w:hint="eastAsia" w:ascii="宋体" w:hAnsi="宋体" w:eastAsia="宋体" w:cs="宋体"/>
          <w:color w:val="auto"/>
          <w:sz w:val="21"/>
          <w:szCs w:val="21"/>
          <w:highlight w:val="none"/>
          <w:lang w:val="en-US" w:eastAsia="zh-CN"/>
        </w:rPr>
      </w:pPr>
    </w:p>
    <w:p>
      <w:pPr>
        <w:pStyle w:val="20"/>
        <w:rPr>
          <w:rFonts w:hint="eastAsia" w:ascii="宋体" w:hAnsi="宋体" w:eastAsia="宋体" w:cs="宋体"/>
          <w:color w:val="auto"/>
          <w:sz w:val="21"/>
          <w:szCs w:val="21"/>
          <w:highlight w:val="none"/>
          <w:lang w:val="en-US" w:eastAsia="zh-CN"/>
        </w:rPr>
      </w:pPr>
    </w:p>
    <w:p>
      <w:pPr>
        <w:pStyle w:val="20"/>
        <w:rPr>
          <w:rFonts w:hint="eastAsia" w:ascii="宋体" w:hAnsi="宋体" w:eastAsia="宋体" w:cs="宋体"/>
          <w:color w:val="auto"/>
          <w:sz w:val="21"/>
          <w:szCs w:val="21"/>
          <w:highlight w:val="none"/>
          <w:lang w:val="en-US" w:eastAsia="zh-CN"/>
        </w:rPr>
      </w:pPr>
    </w:p>
    <w:p>
      <w:pPr>
        <w:pStyle w:val="20"/>
        <w:rPr>
          <w:rFonts w:hint="eastAsia" w:ascii="宋体" w:hAnsi="宋体" w:eastAsia="宋体" w:cs="宋体"/>
          <w:color w:val="auto"/>
          <w:sz w:val="21"/>
          <w:szCs w:val="21"/>
          <w:highlight w:val="none"/>
          <w:lang w:val="en-US" w:eastAsia="zh-CN"/>
        </w:rPr>
      </w:pPr>
    </w:p>
    <w:p>
      <w:pPr>
        <w:pStyle w:val="20"/>
        <w:rPr>
          <w:rFonts w:hint="eastAsia" w:ascii="宋体" w:hAnsi="宋体" w:eastAsia="宋体" w:cs="宋体"/>
          <w:color w:val="auto"/>
          <w:sz w:val="21"/>
          <w:szCs w:val="21"/>
          <w:highlight w:val="none"/>
          <w:lang w:val="en-US" w:eastAsia="zh-CN"/>
        </w:rPr>
      </w:pPr>
    </w:p>
    <w:p>
      <w:pPr>
        <w:pStyle w:val="20"/>
        <w:rPr>
          <w:rFonts w:hint="eastAsia" w:ascii="宋体" w:hAnsi="宋体" w:eastAsia="宋体" w:cs="宋体"/>
          <w:color w:val="auto"/>
          <w:sz w:val="21"/>
          <w:szCs w:val="21"/>
          <w:highlight w:val="none"/>
          <w:lang w:val="en-US" w:eastAsia="zh-CN"/>
        </w:rPr>
      </w:pPr>
    </w:p>
    <w:p>
      <w:pPr>
        <w:pStyle w:val="20"/>
        <w:rPr>
          <w:rFonts w:hint="eastAsia" w:ascii="宋体" w:hAnsi="宋体" w:eastAsia="宋体" w:cs="宋体"/>
          <w:color w:val="auto"/>
          <w:sz w:val="21"/>
          <w:szCs w:val="21"/>
          <w:highlight w:val="none"/>
          <w:lang w:val="en-US" w:eastAsia="zh-CN"/>
        </w:rPr>
      </w:pPr>
    </w:p>
    <w:p>
      <w:pPr>
        <w:pStyle w:val="20"/>
        <w:rPr>
          <w:rFonts w:hint="eastAsia" w:ascii="宋体" w:hAnsi="宋体" w:eastAsia="宋体" w:cs="宋体"/>
          <w:color w:val="auto"/>
          <w:sz w:val="21"/>
          <w:szCs w:val="21"/>
          <w:highlight w:val="none"/>
          <w:lang w:val="en-US" w:eastAsia="zh-CN"/>
        </w:rPr>
      </w:pPr>
    </w:p>
    <w:p>
      <w:pPr>
        <w:pStyle w:val="2"/>
        <w:numPr>
          <w:ilvl w:val="0"/>
          <w:numId w:val="0"/>
        </w:numPr>
        <w:jc w:val="center"/>
        <w:rPr>
          <w:sz w:val="30"/>
          <w:szCs w:val="30"/>
          <w:highlight w:val="none"/>
        </w:rPr>
      </w:pPr>
      <w:bookmarkStart w:id="370" w:name="_Toc9348"/>
      <w:bookmarkStart w:id="371" w:name="_Toc122709418"/>
      <w:bookmarkStart w:id="372" w:name="_Toc122709929"/>
      <w:bookmarkStart w:id="373" w:name="_Toc122709341"/>
      <w:r>
        <w:rPr>
          <w:rFonts w:hint="eastAsia"/>
          <w:sz w:val="30"/>
          <w:szCs w:val="30"/>
          <w:highlight w:val="none"/>
        </w:rPr>
        <w:t>本</w:t>
      </w:r>
      <w:r>
        <w:rPr>
          <w:rFonts w:hint="eastAsia"/>
          <w:sz w:val="30"/>
          <w:szCs w:val="30"/>
          <w:highlight w:val="none"/>
          <w:lang w:val="en-US" w:eastAsia="zh-CN"/>
        </w:rPr>
        <w:t>标准</w:t>
      </w:r>
      <w:r>
        <w:rPr>
          <w:rFonts w:hint="eastAsia"/>
          <w:sz w:val="30"/>
          <w:szCs w:val="30"/>
          <w:highlight w:val="none"/>
        </w:rPr>
        <w:t>用词说明</w:t>
      </w:r>
      <w:bookmarkEnd w:id="370"/>
      <w:bookmarkEnd w:id="371"/>
      <w:bookmarkEnd w:id="372"/>
      <w:bookmarkEnd w:id="373"/>
    </w:p>
    <w:p>
      <w:pPr>
        <w:pStyle w:val="130"/>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eastAsia" w:ascii="宋体" w:hAnsi="宋体" w:eastAsia="宋体" w:cs="宋体"/>
          <w:highlight w:val="none"/>
        </w:rPr>
      </w:pPr>
      <w:bookmarkStart w:id="374" w:name="_Toc103239332"/>
      <w:bookmarkStart w:id="375" w:name="_Toc120863439"/>
      <w:r>
        <w:rPr>
          <w:rFonts w:hint="default" w:ascii="Times New Roman" w:hAnsi="Times New Roman" w:eastAsia="宋体" w:cs="Times New Roman"/>
          <w:b/>
          <w:bCs/>
          <w:highlight w:val="none"/>
        </w:rPr>
        <w:t xml:space="preserve">1 </w:t>
      </w:r>
      <w:r>
        <w:rPr>
          <w:rFonts w:hint="eastAsia" w:ascii="宋体" w:hAnsi="宋体" w:eastAsia="宋体" w:cs="宋体"/>
          <w:highlight w:val="none"/>
        </w:rPr>
        <w:t>为便于在执行本规程条文时区别对待，对要求严格程度不同的用词说明如下：</w:t>
      </w:r>
    </w:p>
    <w:p>
      <w:pPr>
        <w:pStyle w:val="130"/>
        <w:keepNext w:val="0"/>
        <w:keepLines w:val="0"/>
        <w:pageBreakBefore w:val="0"/>
        <w:widowControl w:val="0"/>
        <w:kinsoku/>
        <w:wordWrap/>
        <w:overflowPunct/>
        <w:topLinePunct w:val="0"/>
        <w:autoSpaceDE/>
        <w:autoSpaceDN/>
        <w:bidi w:val="0"/>
        <w:adjustRightInd/>
        <w:snapToGrid/>
        <w:ind w:firstLine="964" w:firstLineChars="400"/>
        <w:textAlignment w:val="auto"/>
        <w:rPr>
          <w:rFonts w:hint="eastAsia" w:ascii="宋体" w:hAnsi="宋体" w:eastAsia="宋体" w:cs="宋体"/>
          <w:highlight w:val="none"/>
        </w:rPr>
      </w:pPr>
      <w:r>
        <w:rPr>
          <w:rFonts w:hint="eastAsia" w:ascii="Times New Roman" w:hAnsi="Times New Roman" w:eastAsia="宋体" w:cs="Times New Roman"/>
          <w:b/>
          <w:bCs/>
          <w:highlight w:val="none"/>
        </w:rPr>
        <w:t>1）</w:t>
      </w:r>
      <w:r>
        <w:rPr>
          <w:rFonts w:hint="eastAsia" w:ascii="宋体" w:hAnsi="宋体" w:eastAsia="宋体" w:cs="宋体"/>
          <w:highlight w:val="none"/>
        </w:rPr>
        <w:t>表示很严格，非这样做不可的：</w:t>
      </w:r>
    </w:p>
    <w:p>
      <w:pPr>
        <w:pStyle w:val="130"/>
        <w:keepNext w:val="0"/>
        <w:keepLines w:val="0"/>
        <w:pageBreakBefore w:val="0"/>
        <w:widowControl w:val="0"/>
        <w:kinsoku/>
        <w:wordWrap/>
        <w:overflowPunct/>
        <w:topLinePunct w:val="0"/>
        <w:autoSpaceDE/>
        <w:autoSpaceDN/>
        <w:bidi w:val="0"/>
        <w:adjustRightInd/>
        <w:snapToGrid/>
        <w:ind w:firstLine="960" w:firstLineChars="400"/>
        <w:textAlignment w:val="auto"/>
        <w:rPr>
          <w:rFonts w:hint="eastAsia" w:ascii="宋体" w:hAnsi="宋体" w:eastAsia="宋体" w:cs="宋体"/>
          <w:highlight w:val="none"/>
        </w:rPr>
      </w:pPr>
      <w:r>
        <w:rPr>
          <w:rFonts w:hint="eastAsia" w:ascii="宋体" w:hAnsi="宋体" w:eastAsia="宋体" w:cs="宋体"/>
          <w:highlight w:val="none"/>
        </w:rPr>
        <w:t>正面词采用“必须”，反面词采用“严禁”；</w:t>
      </w:r>
    </w:p>
    <w:p>
      <w:pPr>
        <w:pStyle w:val="130"/>
        <w:keepNext w:val="0"/>
        <w:keepLines w:val="0"/>
        <w:pageBreakBefore w:val="0"/>
        <w:widowControl w:val="0"/>
        <w:kinsoku/>
        <w:wordWrap/>
        <w:overflowPunct/>
        <w:topLinePunct w:val="0"/>
        <w:autoSpaceDE/>
        <w:autoSpaceDN/>
        <w:bidi w:val="0"/>
        <w:adjustRightInd/>
        <w:snapToGrid/>
        <w:ind w:firstLine="964" w:firstLineChars="400"/>
        <w:textAlignment w:val="auto"/>
        <w:rPr>
          <w:rFonts w:hint="eastAsia" w:ascii="宋体" w:hAnsi="宋体" w:eastAsia="宋体" w:cs="宋体"/>
          <w:highlight w:val="none"/>
        </w:rPr>
      </w:pPr>
      <w:r>
        <w:rPr>
          <w:rFonts w:hint="eastAsia" w:ascii="Times New Roman" w:hAnsi="Times New Roman" w:eastAsia="宋体" w:cs="Times New Roman"/>
          <w:b/>
          <w:bCs/>
          <w:highlight w:val="none"/>
        </w:rPr>
        <w:t>2）</w:t>
      </w:r>
      <w:r>
        <w:rPr>
          <w:rFonts w:hint="eastAsia" w:ascii="宋体" w:hAnsi="宋体" w:eastAsia="宋体" w:cs="宋体"/>
          <w:highlight w:val="none"/>
        </w:rPr>
        <w:t>表示严格，在正常情况下均应这样做的：</w:t>
      </w:r>
    </w:p>
    <w:p>
      <w:pPr>
        <w:pStyle w:val="130"/>
        <w:keepNext w:val="0"/>
        <w:keepLines w:val="0"/>
        <w:pageBreakBefore w:val="0"/>
        <w:widowControl w:val="0"/>
        <w:kinsoku/>
        <w:wordWrap/>
        <w:overflowPunct/>
        <w:topLinePunct w:val="0"/>
        <w:autoSpaceDE/>
        <w:autoSpaceDN/>
        <w:bidi w:val="0"/>
        <w:adjustRightInd/>
        <w:snapToGrid/>
        <w:ind w:firstLine="960" w:firstLineChars="400"/>
        <w:textAlignment w:val="auto"/>
        <w:rPr>
          <w:rFonts w:hint="eastAsia" w:ascii="宋体" w:hAnsi="宋体" w:eastAsia="宋体" w:cs="宋体"/>
          <w:highlight w:val="none"/>
        </w:rPr>
      </w:pPr>
      <w:r>
        <w:rPr>
          <w:rFonts w:hint="eastAsia" w:ascii="宋体" w:hAnsi="宋体" w:eastAsia="宋体" w:cs="宋体"/>
          <w:highlight w:val="none"/>
        </w:rPr>
        <w:t>正面词采用“应”，反面词采用“不应”或“不得”；</w:t>
      </w:r>
    </w:p>
    <w:p>
      <w:pPr>
        <w:pStyle w:val="130"/>
        <w:keepNext w:val="0"/>
        <w:keepLines w:val="0"/>
        <w:pageBreakBefore w:val="0"/>
        <w:widowControl w:val="0"/>
        <w:kinsoku/>
        <w:wordWrap/>
        <w:overflowPunct/>
        <w:topLinePunct w:val="0"/>
        <w:autoSpaceDE/>
        <w:autoSpaceDN/>
        <w:bidi w:val="0"/>
        <w:adjustRightInd/>
        <w:snapToGrid/>
        <w:ind w:firstLine="964" w:firstLineChars="400"/>
        <w:textAlignment w:val="auto"/>
        <w:rPr>
          <w:rFonts w:hint="eastAsia" w:ascii="宋体" w:hAnsi="宋体" w:eastAsia="宋体" w:cs="宋体"/>
          <w:highlight w:val="none"/>
        </w:rPr>
      </w:pPr>
      <w:r>
        <w:rPr>
          <w:rFonts w:hint="eastAsia" w:ascii="Times New Roman" w:hAnsi="Times New Roman" w:eastAsia="宋体" w:cs="Times New Roman"/>
          <w:b/>
          <w:bCs/>
          <w:highlight w:val="none"/>
        </w:rPr>
        <w:t>3）</w:t>
      </w:r>
      <w:r>
        <w:rPr>
          <w:rFonts w:hint="eastAsia" w:ascii="宋体" w:hAnsi="宋体" w:eastAsia="宋体" w:cs="宋体"/>
          <w:highlight w:val="none"/>
        </w:rPr>
        <w:t>表示允许稍有选择，在条件许可时首先应这样做的：</w:t>
      </w:r>
    </w:p>
    <w:p>
      <w:pPr>
        <w:pStyle w:val="130"/>
        <w:keepNext w:val="0"/>
        <w:keepLines w:val="0"/>
        <w:pageBreakBefore w:val="0"/>
        <w:widowControl w:val="0"/>
        <w:kinsoku/>
        <w:wordWrap/>
        <w:overflowPunct/>
        <w:topLinePunct w:val="0"/>
        <w:autoSpaceDE/>
        <w:autoSpaceDN/>
        <w:bidi w:val="0"/>
        <w:adjustRightInd/>
        <w:snapToGrid/>
        <w:ind w:firstLine="960" w:firstLineChars="400"/>
        <w:textAlignment w:val="auto"/>
        <w:rPr>
          <w:rFonts w:hint="eastAsia" w:ascii="宋体" w:hAnsi="宋体" w:eastAsia="宋体" w:cs="宋体"/>
          <w:highlight w:val="none"/>
        </w:rPr>
      </w:pPr>
      <w:r>
        <w:rPr>
          <w:rFonts w:hint="eastAsia" w:ascii="宋体" w:hAnsi="宋体" w:eastAsia="宋体" w:cs="宋体"/>
          <w:highlight w:val="none"/>
        </w:rPr>
        <w:t>正面词采用“宜”，反面词采用“不宜”；</w:t>
      </w:r>
    </w:p>
    <w:p>
      <w:pPr>
        <w:pStyle w:val="130"/>
        <w:keepNext w:val="0"/>
        <w:keepLines w:val="0"/>
        <w:pageBreakBefore w:val="0"/>
        <w:widowControl w:val="0"/>
        <w:kinsoku/>
        <w:wordWrap/>
        <w:overflowPunct/>
        <w:topLinePunct w:val="0"/>
        <w:autoSpaceDE/>
        <w:autoSpaceDN/>
        <w:bidi w:val="0"/>
        <w:adjustRightInd/>
        <w:snapToGrid/>
        <w:ind w:firstLine="964" w:firstLineChars="400"/>
        <w:textAlignment w:val="auto"/>
        <w:rPr>
          <w:rFonts w:hint="eastAsia" w:ascii="宋体" w:hAnsi="宋体" w:eastAsia="宋体" w:cs="宋体"/>
          <w:highlight w:val="none"/>
        </w:rPr>
      </w:pPr>
      <w:r>
        <w:rPr>
          <w:rFonts w:hint="eastAsia" w:ascii="Times New Roman" w:hAnsi="Times New Roman" w:eastAsia="宋体" w:cs="Times New Roman"/>
          <w:b/>
          <w:bCs/>
          <w:highlight w:val="none"/>
        </w:rPr>
        <w:t>4）</w:t>
      </w:r>
      <w:r>
        <w:rPr>
          <w:rFonts w:hint="eastAsia" w:ascii="宋体" w:hAnsi="宋体" w:eastAsia="宋体" w:cs="宋体"/>
          <w:highlight w:val="none"/>
        </w:rPr>
        <w:t>表示有选择，在一定条件下可以这样做的，采用“可”。</w:t>
      </w:r>
    </w:p>
    <w:p>
      <w:pPr>
        <w:pStyle w:val="130"/>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eastAsia" w:ascii="宋体" w:hAnsi="宋体" w:eastAsia="宋体" w:cs="宋体"/>
          <w:highlight w:val="none"/>
        </w:rPr>
      </w:pPr>
      <w:r>
        <w:rPr>
          <w:rFonts w:hint="eastAsia" w:ascii="Times New Roman" w:hAnsi="Times New Roman" w:eastAsia="宋体" w:cs="Times New Roman"/>
          <w:b/>
          <w:bCs/>
          <w:highlight w:val="none"/>
        </w:rPr>
        <w:t xml:space="preserve">2 </w:t>
      </w:r>
      <w:r>
        <w:rPr>
          <w:rFonts w:hint="eastAsia" w:ascii="宋体" w:hAnsi="宋体" w:eastAsia="宋体" w:cs="宋体"/>
          <w:highlight w:val="none"/>
        </w:rPr>
        <w:t>条文中指明应按其他有关标准执行的写法为：“应符合……的规定”或“应按……执行”。</w:t>
      </w:r>
    </w:p>
    <w:p>
      <w:pPr>
        <w:pStyle w:val="130"/>
        <w:ind w:firstLine="480"/>
        <w:rPr>
          <w:rFonts w:hint="eastAsia" w:ascii="宋体" w:hAnsi="宋体" w:eastAsia="宋体" w:cs="宋体"/>
          <w:highlight w:val="none"/>
        </w:rPr>
      </w:pPr>
    </w:p>
    <w:p>
      <w:pPr>
        <w:pStyle w:val="130"/>
        <w:ind w:firstLine="480"/>
        <w:rPr>
          <w:rFonts w:hint="eastAsia" w:ascii="宋体" w:hAnsi="宋体" w:eastAsia="宋体" w:cs="宋体"/>
          <w:highlight w:val="none"/>
        </w:rPr>
      </w:pPr>
    </w:p>
    <w:p>
      <w:pPr>
        <w:pStyle w:val="130"/>
        <w:ind w:firstLine="480"/>
        <w:rPr>
          <w:rFonts w:hint="eastAsia" w:ascii="宋体" w:hAnsi="宋体" w:eastAsia="宋体" w:cs="宋体"/>
          <w:highlight w:val="none"/>
        </w:rPr>
      </w:pPr>
    </w:p>
    <w:p>
      <w:pPr>
        <w:pStyle w:val="130"/>
        <w:ind w:firstLine="480"/>
        <w:rPr>
          <w:rFonts w:hint="eastAsia" w:ascii="宋体" w:hAnsi="宋体" w:eastAsia="宋体" w:cs="宋体"/>
          <w:highlight w:val="none"/>
        </w:rPr>
      </w:pPr>
    </w:p>
    <w:p>
      <w:pPr>
        <w:pStyle w:val="130"/>
        <w:ind w:firstLine="480"/>
        <w:rPr>
          <w:rFonts w:hint="eastAsia" w:ascii="宋体" w:hAnsi="宋体" w:eastAsia="宋体" w:cs="宋体"/>
          <w:highlight w:val="none"/>
        </w:rPr>
      </w:pPr>
    </w:p>
    <w:p>
      <w:pPr>
        <w:pStyle w:val="130"/>
        <w:ind w:firstLine="480"/>
        <w:rPr>
          <w:rFonts w:hint="eastAsia" w:ascii="宋体" w:hAnsi="宋体" w:eastAsia="宋体" w:cs="宋体"/>
          <w:highlight w:val="none"/>
        </w:rPr>
      </w:pPr>
    </w:p>
    <w:p>
      <w:pPr>
        <w:pStyle w:val="130"/>
        <w:ind w:firstLine="480"/>
        <w:rPr>
          <w:rFonts w:hint="eastAsia" w:ascii="宋体" w:hAnsi="宋体" w:eastAsia="宋体" w:cs="宋体"/>
          <w:highlight w:val="none"/>
        </w:rPr>
      </w:pPr>
    </w:p>
    <w:p>
      <w:pPr>
        <w:pStyle w:val="130"/>
        <w:ind w:firstLine="480"/>
        <w:rPr>
          <w:rFonts w:hint="eastAsia" w:ascii="宋体" w:hAnsi="宋体" w:eastAsia="宋体" w:cs="宋体"/>
          <w:highlight w:val="none"/>
        </w:rPr>
      </w:pPr>
    </w:p>
    <w:p>
      <w:pPr>
        <w:pStyle w:val="130"/>
        <w:ind w:firstLine="480"/>
        <w:rPr>
          <w:rFonts w:hint="eastAsia" w:ascii="宋体" w:hAnsi="宋体" w:eastAsia="宋体" w:cs="宋体"/>
          <w:highlight w:val="none"/>
        </w:rPr>
      </w:pPr>
    </w:p>
    <w:p>
      <w:pPr>
        <w:pStyle w:val="130"/>
        <w:ind w:firstLine="480"/>
        <w:rPr>
          <w:rFonts w:hint="eastAsia" w:ascii="宋体" w:hAnsi="宋体" w:eastAsia="宋体" w:cs="宋体"/>
          <w:highlight w:val="none"/>
        </w:rPr>
      </w:pPr>
    </w:p>
    <w:p>
      <w:pPr>
        <w:pStyle w:val="130"/>
        <w:ind w:firstLine="480"/>
        <w:rPr>
          <w:rFonts w:hint="eastAsia" w:ascii="宋体" w:hAnsi="宋体" w:eastAsia="宋体" w:cs="宋体"/>
          <w:highlight w:val="none"/>
        </w:rPr>
      </w:pPr>
    </w:p>
    <w:p>
      <w:pPr>
        <w:pStyle w:val="130"/>
        <w:ind w:firstLine="480"/>
        <w:rPr>
          <w:rFonts w:hint="eastAsia" w:ascii="宋体" w:hAnsi="宋体" w:eastAsia="宋体" w:cs="宋体"/>
          <w:highlight w:val="none"/>
        </w:rPr>
      </w:pPr>
    </w:p>
    <w:p>
      <w:pPr>
        <w:pStyle w:val="130"/>
        <w:ind w:firstLine="480"/>
        <w:rPr>
          <w:rFonts w:hint="eastAsia" w:ascii="宋体" w:hAnsi="宋体" w:eastAsia="宋体" w:cs="宋体"/>
          <w:highlight w:val="none"/>
        </w:rPr>
      </w:pPr>
    </w:p>
    <w:p>
      <w:pPr>
        <w:pStyle w:val="130"/>
        <w:ind w:firstLine="480"/>
        <w:rPr>
          <w:rFonts w:hint="eastAsia" w:ascii="宋体" w:hAnsi="宋体" w:eastAsia="宋体" w:cs="宋体"/>
          <w:highlight w:val="none"/>
        </w:rPr>
      </w:pPr>
    </w:p>
    <w:p>
      <w:pPr>
        <w:pStyle w:val="2"/>
        <w:numPr>
          <w:ilvl w:val="0"/>
          <w:numId w:val="0"/>
        </w:numPr>
        <w:jc w:val="center"/>
        <w:rPr>
          <w:rFonts w:hint="eastAsia" w:ascii="Times New Roman" w:hAnsi="Times New Roman" w:eastAsia="宋体" w:cs="Times New Roman"/>
          <w:sz w:val="30"/>
          <w:szCs w:val="30"/>
          <w:highlight w:val="none"/>
        </w:rPr>
      </w:pPr>
      <w:bookmarkStart w:id="376" w:name="_Toc122709419"/>
      <w:bookmarkStart w:id="377" w:name="_Toc122709342"/>
      <w:bookmarkStart w:id="378" w:name="_Toc122709930"/>
      <w:bookmarkStart w:id="379" w:name="_Toc948"/>
      <w:r>
        <w:rPr>
          <w:rFonts w:hint="eastAsia" w:ascii="Times New Roman" w:hAnsi="Times New Roman" w:eastAsia="宋体" w:cs="Times New Roman"/>
          <w:sz w:val="30"/>
          <w:szCs w:val="30"/>
          <w:highlight w:val="none"/>
        </w:rPr>
        <w:t>引用标准名录</w:t>
      </w:r>
      <w:bookmarkEnd w:id="374"/>
      <w:bookmarkEnd w:id="375"/>
      <w:bookmarkEnd w:id="376"/>
      <w:bookmarkEnd w:id="377"/>
      <w:bookmarkEnd w:id="378"/>
      <w:bookmarkEnd w:id="379"/>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安全标志及其使用导则</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GB 2894</w:t>
      </w:r>
    </w:p>
    <w:p>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声环境质量标准</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GB 3096</w:t>
      </w:r>
    </w:p>
    <w:p>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生活饮用水卫生标准</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 xml:space="preserve">GB 5749  </w:t>
      </w:r>
    </w:p>
    <w:p>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消防安全标志  第1部分：标志</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 xml:space="preserve">GB 13495.1  </w:t>
      </w:r>
    </w:p>
    <w:p>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消防安全标志设置要求</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 xml:space="preserve">GB 15630 </w:t>
      </w:r>
    </w:p>
    <w:p>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防护服装  化学防护服</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 xml:space="preserve">GB 24539  </w:t>
      </w:r>
    </w:p>
    <w:p>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建筑消防设施的维护管理</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GB 25201</w:t>
      </w:r>
    </w:p>
    <w:p>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电力安全工作规程  发电厂和变电站电气部分</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GB 26860</w:t>
      </w:r>
    </w:p>
    <w:p>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食品安全国家标准  餐饮服务通用卫生规范</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 xml:space="preserve">GB 31654 </w:t>
      </w:r>
    </w:p>
    <w:p>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建筑照明设计标准</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 xml:space="preserve">GB 50034 </w:t>
      </w:r>
    </w:p>
    <w:p>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空调通风系统运行管理标准</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 xml:space="preserve">GB 50365  </w:t>
      </w:r>
    </w:p>
    <w:p>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道路交通标志和标线  第2部分：道路交通标志</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GB 5768.2</w:t>
      </w:r>
    </w:p>
    <w:p>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400MHZ频段模拟公众无线对讲机技术规范和测量方法</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GB/T 21646</w:t>
      </w:r>
    </w:p>
    <w:p>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电力设备预防性试验规程</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DL/T 596</w:t>
      </w:r>
    </w:p>
    <w:p>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车辆出入口电动栏杆机技术要求</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 xml:space="preserve">GA/T 1132 </w:t>
      </w:r>
    </w:p>
    <w:p>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警用防刺服</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 xml:space="preserve">GA 68 </w:t>
      </w:r>
    </w:p>
    <w:p>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防爆毯</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GA 69</w:t>
      </w:r>
    </w:p>
    <w:p>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防暴头盔</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 xml:space="preserve">GA 294 </w:t>
      </w:r>
    </w:p>
    <w:p>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防尾随联动互锁安全门通用技术条件</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 xml:space="preserve">GA 576 </w:t>
      </w:r>
    </w:p>
    <w:p>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防割手套</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GA 614</w:t>
      </w:r>
    </w:p>
    <w:p>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公安单警装备  强光手电</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GA 883</w:t>
      </w:r>
    </w:p>
    <w:p>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电力系统治安反恐防范要求  第1部分：电网企业</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GA 1800.1</w:t>
      </w:r>
    </w:p>
    <w:p>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约束叉</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GA/T 1145</w:t>
      </w:r>
    </w:p>
    <w:p>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防暴升降式阻车路障</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GA/T 1343 </w:t>
      </w:r>
    </w:p>
    <w:p>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锅炉安全技术监察规程 释义</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TSG G0001</w:t>
      </w:r>
    </w:p>
    <w:p>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电梯维修保养规则</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 xml:space="preserve">TSG T5002 </w:t>
      </w:r>
    </w:p>
    <w:p>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公共场所集中式空调通风系统清洗消毒规范</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 xml:space="preserve">WS/T 396 </w:t>
      </w:r>
    </w:p>
    <w:p>
      <w:pPr>
        <w:ind w:left="0" w:leftChars="0" w:firstLine="420" w:firstLineChars="175"/>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物业服务 档案管理规范</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 xml:space="preserve">DB44/T 1315 </w:t>
      </w:r>
    </w:p>
    <w:p>
      <w:pPr>
        <w:ind w:left="0" w:leftChars="0" w:firstLine="420" w:firstLineChars="175"/>
        <w:rPr>
          <w:rFonts w:hint="eastAsia"/>
          <w:lang w:val="en-US" w:eastAsia="zh-CN"/>
        </w:rPr>
      </w:pP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电动汽车充电基础设施建设技术规程</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 xml:space="preserve">DBJ/T 15—150 </w:t>
      </w:r>
    </w:p>
    <w:p>
      <w:pPr>
        <w:rPr>
          <w:rFonts w:hint="default"/>
          <w:lang w:val="en-US" w:eastAsia="zh-CN"/>
        </w:rPr>
      </w:pPr>
    </w:p>
    <w:p>
      <w:pPr>
        <w:pStyle w:val="20"/>
        <w:rPr>
          <w:rFonts w:hint="eastAsia" w:ascii="宋体" w:hAnsi="宋体" w:eastAsia="宋体" w:cs="宋体"/>
          <w:color w:val="auto"/>
          <w:sz w:val="21"/>
          <w:szCs w:val="21"/>
          <w:highlight w:val="none"/>
          <w:lang w:val="en-US" w:eastAsia="zh-CN"/>
        </w:rPr>
      </w:pPr>
    </w:p>
    <w:p>
      <w:pPr>
        <w:rPr>
          <w:rFonts w:hint="eastAsia" w:ascii="宋体" w:hAnsi="宋体" w:eastAsia="宋体" w:cs="宋体"/>
          <w:color w:val="auto"/>
          <w:sz w:val="21"/>
          <w:szCs w:val="21"/>
          <w:highlight w:val="none"/>
          <w:lang w:val="en-US" w:eastAsia="zh-CN"/>
        </w:rPr>
      </w:pPr>
    </w:p>
    <w:p>
      <w:pPr>
        <w:pStyle w:val="20"/>
        <w:rPr>
          <w:rFonts w:hint="eastAsia" w:ascii="宋体" w:hAnsi="宋体" w:eastAsia="宋体" w:cs="宋体"/>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850"/>
        <w:jc w:val="center"/>
        <w:textAlignment w:val="auto"/>
        <w:rPr>
          <w:rFonts w:hint="eastAsia" w:ascii="黑体" w:hAnsi="黑体" w:eastAsia="黑体" w:cs="黑体"/>
          <w:color w:val="auto"/>
          <w:highlight w:val="none"/>
        </w:rPr>
      </w:pPr>
    </w:p>
    <w:p>
      <w:pPr>
        <w:pStyle w:val="20"/>
        <w:rPr>
          <w:rFonts w:hint="eastAsia" w:ascii="黑体" w:hAnsi="黑体" w:eastAsia="黑体" w:cs="黑体"/>
          <w:color w:val="auto"/>
          <w:highlight w:val="none"/>
        </w:rPr>
      </w:pPr>
    </w:p>
    <w:p>
      <w:pPr>
        <w:rPr>
          <w:rFonts w:hint="eastAsia" w:ascii="黑体" w:hAnsi="黑体" w:eastAsia="黑体" w:cs="黑体"/>
          <w:color w:val="auto"/>
          <w:highlight w:val="none"/>
        </w:rPr>
      </w:pPr>
    </w:p>
    <w:p>
      <w:pPr>
        <w:pStyle w:val="20"/>
        <w:rPr>
          <w:rFonts w:hint="eastAsia" w:ascii="黑体" w:hAnsi="黑体" w:eastAsia="黑体" w:cs="黑体"/>
          <w:color w:val="auto"/>
          <w:highlight w:val="none"/>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eastAsia"/>
          <w:highlight w:val="none"/>
        </w:rPr>
      </w:pPr>
    </w:p>
    <w:p>
      <w:pPr>
        <w:spacing w:after="312" w:afterLines="100"/>
        <w:jc w:val="center"/>
        <w:outlineLvl w:val="1"/>
        <w:rPr>
          <w:rFonts w:hint="eastAsia" w:ascii="Times New Roman" w:hAnsi="Times New Roman" w:eastAsia="宋体"/>
          <w:sz w:val="36"/>
          <w:szCs w:val="36"/>
          <w:highlight w:val="none"/>
          <w:lang w:eastAsia="zh-CN"/>
        </w:rPr>
      </w:pPr>
      <w:bookmarkStart w:id="380" w:name="_Toc5379"/>
      <w:r>
        <w:rPr>
          <w:rFonts w:hint="eastAsia" w:ascii="Times New Roman" w:hAnsi="Times New Roman" w:eastAsia="宋体"/>
          <w:sz w:val="36"/>
          <w:szCs w:val="36"/>
          <w:highlight w:val="none"/>
        </w:rPr>
        <w:t>附录</w:t>
      </w:r>
      <w:r>
        <w:rPr>
          <w:rFonts w:hint="eastAsia" w:ascii="Times New Roman" w:hAnsi="Times New Roman" w:eastAsia="宋体"/>
          <w:sz w:val="36"/>
          <w:szCs w:val="36"/>
          <w:highlight w:val="none"/>
          <w:lang w:val="en-US" w:eastAsia="zh-CN"/>
        </w:rPr>
        <w:t xml:space="preserve">A  </w:t>
      </w:r>
      <w:r>
        <w:rPr>
          <w:rFonts w:hint="eastAsia" w:ascii="Times New Roman" w:hAnsi="Times New Roman" w:eastAsia="宋体"/>
          <w:sz w:val="36"/>
          <w:szCs w:val="36"/>
          <w:highlight w:val="none"/>
          <w:lang w:eastAsia="zh-CN"/>
        </w:rPr>
        <w:t>中央空调系统维护保养</w:t>
      </w:r>
      <w:bookmarkEnd w:id="380"/>
    </w:p>
    <w:p>
      <w:pPr>
        <w:pStyle w:val="59"/>
        <w:tabs>
          <w:tab w:val="center" w:pos="4201"/>
          <w:tab w:val="right" w:leader="dot" w:pos="9298"/>
        </w:tabs>
        <w:ind w:left="0" w:leftChars="0" w:firstLine="420" w:firstLineChars="200"/>
        <w:jc w:val="both"/>
        <w:rPr>
          <w:rFonts w:hint="eastAsia" w:ascii="宋体" w:hAnsi="宋体" w:eastAsia="宋体" w:cs="宋体"/>
          <w:color w:val="auto"/>
          <w:sz w:val="21"/>
          <w:highlight w:val="none"/>
          <w:lang w:val="en-US" w:eastAsia="zh-CN" w:bidi="ar-SA"/>
        </w:rPr>
      </w:pPr>
    </w:p>
    <w:p>
      <w:pPr>
        <w:pStyle w:val="59"/>
        <w:tabs>
          <w:tab w:val="center" w:pos="4201"/>
          <w:tab w:val="right" w:leader="dot" w:pos="9298"/>
        </w:tabs>
        <w:ind w:left="0" w:leftChars="0" w:firstLine="420" w:firstLineChars="200"/>
        <w:jc w:val="both"/>
        <w:rPr>
          <w:rFonts w:hint="eastAsia" w:ascii="宋体" w:hAnsi="宋体" w:eastAsia="宋体" w:cs="宋体"/>
          <w:color w:val="auto"/>
          <w:sz w:val="21"/>
          <w:highlight w:val="none"/>
          <w:lang w:val="en-US" w:eastAsia="zh-CN" w:bidi="ar-SA"/>
        </w:rPr>
      </w:pPr>
      <w:r>
        <w:rPr>
          <w:rFonts w:hint="eastAsia" w:ascii="宋体" w:hAnsi="宋体" w:eastAsia="宋体" w:cs="宋体"/>
          <w:color w:val="auto"/>
          <w:sz w:val="21"/>
          <w:highlight w:val="none"/>
          <w:lang w:val="en-US" w:eastAsia="zh-CN" w:bidi="ar-SA"/>
        </w:rPr>
        <w:t>中央空调系统维护保养内容见表A.1。</w:t>
      </w:r>
    </w:p>
    <w:p>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after="157" w:afterLines="50"/>
        <w:jc w:val="center"/>
        <w:textAlignment w:val="auto"/>
        <w:rPr>
          <w:rFonts w:hint="eastAsia" w:ascii="黑体" w:hAnsi="黑体" w:eastAsia="黑体" w:cs="黑体"/>
          <w:color w:val="auto"/>
          <w:sz w:val="21"/>
          <w:highlight w:val="none"/>
          <w:lang w:val="en-US" w:eastAsia="zh-CN" w:bidi="ar-SA"/>
        </w:rPr>
      </w:pPr>
      <w:r>
        <w:rPr>
          <w:rFonts w:hint="eastAsia" w:ascii="黑体" w:hAnsi="黑体" w:eastAsia="黑体" w:cs="黑体"/>
          <w:color w:val="auto"/>
          <w:sz w:val="21"/>
          <w:highlight w:val="none"/>
          <w:lang w:val="en-US" w:eastAsia="zh-CN" w:bidi="ar-SA"/>
        </w:rPr>
        <w:t>表A.1  中央空调系统维护保养内容</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2196"/>
        <w:gridCol w:w="576"/>
        <w:gridCol w:w="50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6" w:type="dxa"/>
            <w:tcBorders>
              <w:bottom w:val="single" w:color="000000" w:sz="12"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项目</w:t>
            </w:r>
          </w:p>
        </w:tc>
        <w:tc>
          <w:tcPr>
            <w:tcW w:w="2196" w:type="dxa"/>
            <w:tcBorders>
              <w:bottom w:val="single" w:color="000000" w:sz="12"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时间</w:t>
            </w:r>
          </w:p>
        </w:tc>
        <w:tc>
          <w:tcPr>
            <w:tcW w:w="576" w:type="dxa"/>
            <w:tcBorders>
              <w:bottom w:val="single" w:color="000000" w:sz="12"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次数</w:t>
            </w:r>
          </w:p>
        </w:tc>
        <w:tc>
          <w:tcPr>
            <w:tcW w:w="5076" w:type="dxa"/>
            <w:tcBorders>
              <w:bottom w:val="single" w:color="000000" w:sz="12"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维修养护内容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Merge w:val="restart"/>
            <w:tcBorders>
              <w:top w:val="single" w:color="000000" w:sz="12"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调</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主</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机</w:t>
            </w:r>
          </w:p>
        </w:tc>
        <w:tc>
          <w:tcPr>
            <w:tcW w:w="2196" w:type="dxa"/>
            <w:tcBorders>
              <w:top w:val="single" w:color="000000" w:sz="12"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每年供冷季节机组启动前</w:t>
            </w:r>
          </w:p>
        </w:tc>
        <w:tc>
          <w:tcPr>
            <w:tcW w:w="576" w:type="dxa"/>
            <w:tcBorders>
              <w:top w:val="single" w:color="000000" w:sz="12"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w:t>
            </w:r>
          </w:p>
        </w:tc>
        <w:tc>
          <w:tcPr>
            <w:tcW w:w="5076" w:type="dxa"/>
            <w:tcBorders>
              <w:top w:val="single" w:color="000000" w:sz="12" w:space="0"/>
              <w:tl2br w:val="nil"/>
              <w:tr2bl w:val="nil"/>
            </w:tcBorders>
            <w:shd w:val="clear" w:color="auto" w:fill="FFFFFF"/>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1、检查制冷剂液位和油面。</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2、检查加热器和变频压缩机。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3、检查和测试所有运行控制和安全控制功能。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4、检查调整微电脑控制中心的设定值。</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5、启动机组，检查整个运行状况，记录、机组运行参数。</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6、根据运行记录，分析处理机组问题。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219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运行</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期间</w:t>
            </w:r>
          </w:p>
        </w:tc>
        <w:tc>
          <w:tcPr>
            <w:tcW w:w="57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w:t>
            </w:r>
          </w:p>
        </w:tc>
        <w:tc>
          <w:tcPr>
            <w:tcW w:w="5076" w:type="dxa"/>
            <w:tcBorders>
              <w:tl2br w:val="nil"/>
              <w:tr2bl w:val="nil"/>
            </w:tcBorders>
            <w:shd w:val="clear" w:color="auto" w:fill="FFFFFF"/>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1、检查机组各项运行参数的工况，调整安全控制装置。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2、检查控制装置的运行。</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3、检查制冷剂液位和油位。</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4、检查润滑系统的运行。</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5、检查回油系统。</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6、检查电机和启动器的运行。</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7、记录运行状态参数，分析确认机组运行是否正常，必要时</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进行机组检修。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8、每月进行一次泄漏检查。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9、记录和报告有需要更换的零配件。</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10、冷却电机轴承打油/更换轴承。</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11、高/低压控制检测/修理/更换。</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12、空调机组检测/修理/更换零配件。</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13、冷凝器清理沉积物质。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14、电器装置有否接驳松脱/触点氧化/外来物质/修理/更换。</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15、控制和保护装置调整设定值检测/修理/更换。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219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每年制冷期结束</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停机期间</w:t>
            </w:r>
          </w:p>
        </w:tc>
        <w:tc>
          <w:tcPr>
            <w:tcW w:w="57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w:t>
            </w:r>
          </w:p>
        </w:tc>
        <w:tc>
          <w:tcPr>
            <w:tcW w:w="5076" w:type="dxa"/>
            <w:tcBorders>
              <w:tl2br w:val="nil"/>
              <w:tr2bl w:val="nil"/>
            </w:tcBorders>
            <w:shd w:val="clear" w:color="auto" w:fill="FFFFFF"/>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1、检查压缩电机组件的各项环节。</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2、检查压缩机润滑油系统。</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3、执行各项正确操作程序，检查电机启动器。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4、检查控制面板，确定各操作状态是否正常。</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5、检查冷凝器洁净情况是否需要清洗。</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6、检查系统的泄漏、制冷剂并给予正确的处理方法。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冷却</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冷冻泵</w:t>
            </w:r>
          </w:p>
        </w:tc>
        <w:tc>
          <w:tcPr>
            <w:tcW w:w="219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每</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季</w:t>
            </w:r>
          </w:p>
        </w:tc>
        <w:tc>
          <w:tcPr>
            <w:tcW w:w="57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w:t>
            </w:r>
          </w:p>
        </w:tc>
        <w:tc>
          <w:tcPr>
            <w:tcW w:w="5076" w:type="dxa"/>
            <w:tcBorders>
              <w:tl2br w:val="nil"/>
              <w:tr2bl w:val="nil"/>
            </w:tcBorders>
            <w:shd w:val="clear" w:color="auto" w:fill="FFFFFF"/>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1、检查运行记录；检查联轴器及盘根的使用情况。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2、转动阀门，检查阀门能否灵活开启、关闭。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219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每</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w:t>
            </w:r>
          </w:p>
        </w:tc>
        <w:tc>
          <w:tcPr>
            <w:tcW w:w="57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w:t>
            </w:r>
          </w:p>
        </w:tc>
        <w:tc>
          <w:tcPr>
            <w:tcW w:w="5076" w:type="dxa"/>
            <w:tcBorders>
              <w:tl2br w:val="nil"/>
              <w:tr2bl w:val="nil"/>
            </w:tcBorders>
            <w:shd w:val="clear" w:color="auto" w:fill="FFFFFF"/>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1、清洗水泵及电机轴承并加润滑油。</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2、检测电机接地电阻并记录。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3、检测冷却、冷冻泵电机绝缘电阻值。</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4、更换水泵轴衬套，重新加装填料。</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5、泵壳、泵体清锈刷漆。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冷却塔</w:t>
            </w:r>
          </w:p>
        </w:tc>
        <w:tc>
          <w:tcPr>
            <w:tcW w:w="219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每</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月</w:t>
            </w:r>
          </w:p>
        </w:tc>
        <w:tc>
          <w:tcPr>
            <w:tcW w:w="576"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w:t>
            </w:r>
          </w:p>
        </w:tc>
        <w:tc>
          <w:tcPr>
            <w:tcW w:w="5076" w:type="dxa"/>
            <w:tcBorders>
              <w:tl2br w:val="nil"/>
              <w:tr2bl w:val="nil"/>
            </w:tcBorders>
            <w:shd w:val="clear" w:color="auto" w:fill="FFFFFF"/>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1、进行水处理。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2、检查电机皮带是否正常。</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3、清洗冷却塔塔体。</w:t>
            </w:r>
          </w:p>
        </w:tc>
      </w:tr>
    </w:tbl>
    <w:p>
      <w:pPr>
        <w:rPr>
          <w:rFonts w:hint="eastAsia" w:ascii="宋体" w:hAnsi="宋体" w:eastAsia="宋体" w:cs="宋体"/>
          <w:color w:val="auto"/>
          <w:sz w:val="18"/>
          <w:szCs w:val="18"/>
          <w:highlight w:val="none"/>
        </w:rPr>
      </w:pPr>
    </w:p>
    <w:p>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after="157" w:afterLines="50"/>
        <w:jc w:val="center"/>
        <w:textAlignment w:val="auto"/>
        <w:rPr>
          <w:rFonts w:hint="eastAsia" w:ascii="黑体" w:hAnsi="黑体" w:eastAsia="黑体" w:cs="黑体"/>
          <w:color w:val="auto"/>
          <w:sz w:val="21"/>
          <w:highlight w:val="none"/>
          <w:lang w:val="en-US" w:eastAsia="zh-CN" w:bidi="ar-SA"/>
        </w:rPr>
      </w:pPr>
    </w:p>
    <w:p>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after="157" w:afterLines="50"/>
        <w:jc w:val="center"/>
        <w:textAlignment w:val="auto"/>
        <w:rPr>
          <w:rFonts w:hint="eastAsia" w:ascii="黑体" w:hAnsi="黑体" w:eastAsia="黑体" w:cs="黑体"/>
          <w:color w:val="auto"/>
          <w:sz w:val="21"/>
          <w:highlight w:val="none"/>
          <w:lang w:val="en-US" w:eastAsia="zh-CN" w:bidi="ar-SA"/>
        </w:rPr>
      </w:pPr>
    </w:p>
    <w:p>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after="157" w:afterLines="50"/>
        <w:jc w:val="center"/>
        <w:textAlignment w:val="auto"/>
        <w:rPr>
          <w:rFonts w:hint="eastAsia" w:ascii="黑体" w:hAnsi="黑体" w:eastAsia="黑体" w:cs="黑体"/>
          <w:color w:val="auto"/>
          <w:sz w:val="21"/>
          <w:highlight w:val="none"/>
          <w:lang w:val="en-US" w:eastAsia="zh-CN" w:bidi="ar-SA"/>
        </w:rPr>
      </w:pPr>
    </w:p>
    <w:p>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after="157" w:afterLines="50"/>
        <w:jc w:val="center"/>
        <w:textAlignment w:val="auto"/>
        <w:rPr>
          <w:rFonts w:hint="eastAsia" w:ascii="黑体" w:hAnsi="黑体" w:eastAsia="黑体" w:cs="黑体"/>
          <w:color w:val="auto"/>
          <w:sz w:val="21"/>
          <w:highlight w:val="none"/>
          <w:lang w:val="en-US" w:eastAsia="zh-CN" w:bidi="ar-SA"/>
        </w:rPr>
      </w:pPr>
    </w:p>
    <w:p>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after="157" w:afterLines="50"/>
        <w:ind w:firstLine="0" w:firstLineChars="0"/>
        <w:jc w:val="center"/>
        <w:textAlignment w:val="auto"/>
        <w:rPr>
          <w:rFonts w:hint="eastAsia" w:ascii="宋体" w:hAnsi="宋体" w:eastAsia="宋体" w:cs="宋体"/>
          <w:color w:val="auto"/>
          <w:sz w:val="18"/>
          <w:szCs w:val="18"/>
          <w:highlight w:val="none"/>
          <w:lang w:val="en-US"/>
        </w:rPr>
      </w:pPr>
      <w:r>
        <w:rPr>
          <w:rFonts w:hint="eastAsia" w:ascii="宋体" w:hAnsi="宋体" w:eastAsia="宋体" w:cs="宋体"/>
          <w:color w:val="auto"/>
          <w:sz w:val="21"/>
          <w:highlight w:val="none"/>
          <w:lang w:val="en-US" w:eastAsia="zh-CN" w:bidi="ar-SA"/>
        </w:rPr>
        <w:t xml:space="preserve">续表A.1  </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195"/>
        <w:gridCol w:w="614"/>
        <w:gridCol w:w="49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21" w:type="dxa"/>
            <w:tcBorders>
              <w:bottom w:val="single" w:color="000000" w:sz="12"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项目</w:t>
            </w:r>
          </w:p>
        </w:tc>
        <w:tc>
          <w:tcPr>
            <w:tcW w:w="2195" w:type="dxa"/>
            <w:tcBorders>
              <w:bottom w:val="single" w:color="000000" w:sz="12"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时间</w:t>
            </w:r>
          </w:p>
        </w:tc>
        <w:tc>
          <w:tcPr>
            <w:tcW w:w="614" w:type="dxa"/>
            <w:tcBorders>
              <w:bottom w:val="single" w:color="000000" w:sz="12"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次数</w:t>
            </w:r>
          </w:p>
        </w:tc>
        <w:tc>
          <w:tcPr>
            <w:tcW w:w="4997" w:type="dxa"/>
            <w:tcBorders>
              <w:bottom w:val="single" w:color="000000" w:sz="12"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维修养护内容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tcBorders>
              <w:top w:val="single" w:color="000000" w:sz="12"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冷却塔</w:t>
            </w:r>
          </w:p>
        </w:tc>
        <w:tc>
          <w:tcPr>
            <w:tcW w:w="2195" w:type="dxa"/>
            <w:tcBorders>
              <w:top w:val="single" w:color="000000" w:sz="12"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每</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w:t>
            </w:r>
          </w:p>
        </w:tc>
        <w:tc>
          <w:tcPr>
            <w:tcW w:w="614" w:type="dxa"/>
            <w:tcBorders>
              <w:top w:val="single" w:color="000000" w:sz="12"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w:t>
            </w:r>
          </w:p>
        </w:tc>
        <w:tc>
          <w:tcPr>
            <w:tcW w:w="4997" w:type="dxa"/>
            <w:tcBorders>
              <w:top w:val="single" w:color="000000" w:sz="12" w:space="0"/>
              <w:tl2br w:val="nil"/>
              <w:tr2bl w:val="nil"/>
            </w:tcBorders>
            <w:shd w:val="clear" w:color="auto" w:fill="FFFFFF"/>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1、清洗填料，更换脱落布水器。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2、更换磨损严重的皮带。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3、检测电机接地电阻、电机绝缘电阻并做好记录。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4、更换或清洗电机及风叶轴承并加注黄油。</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5、更换各类标示。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新风机组</w:t>
            </w:r>
          </w:p>
        </w:tc>
        <w:tc>
          <w:tcPr>
            <w:tcW w:w="219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每</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w:t>
            </w:r>
          </w:p>
        </w:tc>
        <w:tc>
          <w:tcPr>
            <w:tcW w:w="614"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w:t>
            </w:r>
          </w:p>
        </w:tc>
        <w:tc>
          <w:tcPr>
            <w:tcW w:w="4997" w:type="dxa"/>
            <w:tcBorders>
              <w:tl2br w:val="nil"/>
              <w:tr2bl w:val="nil"/>
            </w:tcBorders>
            <w:shd w:val="clear" w:color="auto" w:fill="FFFFFF"/>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1、清洗风机及管道过滤网，清洗公共场所风机出风口。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2、更换或清洗电机及风机轴承，并加注黄油。</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3、风机外壳清锈刷漆。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4、测试控制部分工作性能。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风机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盘管</w:t>
            </w:r>
          </w:p>
        </w:tc>
        <w:tc>
          <w:tcPr>
            <w:tcW w:w="219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每</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月</w:t>
            </w:r>
          </w:p>
        </w:tc>
        <w:tc>
          <w:tcPr>
            <w:tcW w:w="614"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w:t>
            </w:r>
          </w:p>
        </w:tc>
        <w:tc>
          <w:tcPr>
            <w:tcW w:w="4997" w:type="dxa"/>
            <w:tcBorders>
              <w:tl2br w:val="nil"/>
              <w:tr2bl w:val="nil"/>
            </w:tcBorders>
            <w:shd w:val="clear" w:color="auto" w:fill="FFFFFF"/>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1、观察风机是否正常运行，有无异常声响。</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2、空调开关及电磁阀工作是否正常。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18"/>
                <w:szCs w:val="18"/>
                <w:highlight w:val="none"/>
                <w:lang w:val="en-US" w:eastAsia="zh-CN"/>
              </w:rPr>
            </w:pPr>
          </w:p>
          <w:p>
            <w:pPr>
              <w:pStyle w:val="20"/>
              <w:rPr>
                <w:rFonts w:hint="eastAsia" w:ascii="宋体" w:hAnsi="宋体" w:eastAsia="宋体" w:cs="宋体"/>
                <w:color w:val="auto"/>
                <w:sz w:val="18"/>
                <w:szCs w:val="18"/>
                <w:highlight w:val="none"/>
                <w:lang w:val="en-US" w:eastAsia="zh-CN"/>
              </w:rPr>
            </w:pPr>
          </w:p>
        </w:tc>
        <w:tc>
          <w:tcPr>
            <w:tcW w:w="219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每</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季</w:t>
            </w:r>
          </w:p>
        </w:tc>
        <w:tc>
          <w:tcPr>
            <w:tcW w:w="614"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w:t>
            </w:r>
          </w:p>
        </w:tc>
        <w:tc>
          <w:tcPr>
            <w:tcW w:w="4997" w:type="dxa"/>
            <w:tcBorders>
              <w:tl2br w:val="nil"/>
              <w:tr2bl w:val="nil"/>
            </w:tcBorders>
            <w:shd w:val="clear" w:color="auto" w:fill="FFFFFF"/>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1、检查冷凝水接水盘是否畅通排水。</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2、保温要求达到的标准是否良好，自动排气阀工作是否正常。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Merge w:val="continue"/>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219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每</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w:t>
            </w:r>
          </w:p>
        </w:tc>
        <w:tc>
          <w:tcPr>
            <w:tcW w:w="614"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w:t>
            </w:r>
          </w:p>
        </w:tc>
        <w:tc>
          <w:tcPr>
            <w:tcW w:w="4997" w:type="dxa"/>
            <w:tcBorders>
              <w:tl2br w:val="nil"/>
              <w:tr2bl w:val="nil"/>
            </w:tcBorders>
            <w:shd w:val="clear" w:color="auto" w:fill="FFFFFF"/>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1、检测电机接地电阻及电机绝缘电阻值。</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2、清洗接水盘。</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3、清洗回风口、出风口、过滤网。</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4、盘管风机轴承加注黄油。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专业</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水处理</w:t>
            </w:r>
          </w:p>
        </w:tc>
        <w:tc>
          <w:tcPr>
            <w:tcW w:w="219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每</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半年</w:t>
            </w:r>
          </w:p>
        </w:tc>
        <w:tc>
          <w:tcPr>
            <w:tcW w:w="614"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w:t>
            </w:r>
          </w:p>
        </w:tc>
        <w:tc>
          <w:tcPr>
            <w:tcW w:w="4997"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检查水质微生物及其他指标是否满足要求。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Merge w:val="restar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自控箱及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控制器</w:t>
            </w:r>
          </w:p>
        </w:tc>
        <w:tc>
          <w:tcPr>
            <w:tcW w:w="219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每</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季</w:t>
            </w:r>
          </w:p>
        </w:tc>
        <w:tc>
          <w:tcPr>
            <w:tcW w:w="614"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w:t>
            </w:r>
          </w:p>
        </w:tc>
        <w:tc>
          <w:tcPr>
            <w:tcW w:w="4997" w:type="dxa"/>
            <w:tcBorders>
              <w:tl2br w:val="nil"/>
              <w:tr2bl w:val="nil"/>
            </w:tcBorders>
            <w:shd w:val="clear" w:color="auto" w:fill="FFFFFF"/>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1、检查线路有无过热现象。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2、检查进出线路接线装置是否完好。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Merge w:val="continue"/>
            <w:tcBorders>
              <w:tl2br w:val="nil"/>
              <w:tr2bl w:val="nil"/>
            </w:tcBorders>
            <w:shd w:val="clear" w:color="auto" w:fill="FFFFFF"/>
            <w:noWrap w:val="0"/>
            <w:vAlign w:val="center"/>
          </w:tcPr>
          <w:p>
            <w:pPr>
              <w:jc w:val="center"/>
              <w:rPr>
                <w:rFonts w:hint="eastAsia" w:ascii="宋体" w:hAnsi="宋体" w:eastAsia="宋体" w:cs="宋体"/>
                <w:color w:val="auto"/>
                <w:sz w:val="18"/>
                <w:szCs w:val="18"/>
                <w:highlight w:val="none"/>
              </w:rPr>
            </w:pPr>
          </w:p>
        </w:tc>
        <w:tc>
          <w:tcPr>
            <w:tcW w:w="2195"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每</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年</w:t>
            </w:r>
          </w:p>
        </w:tc>
        <w:tc>
          <w:tcPr>
            <w:tcW w:w="614"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1</w:t>
            </w:r>
          </w:p>
        </w:tc>
        <w:tc>
          <w:tcPr>
            <w:tcW w:w="4997" w:type="dxa"/>
            <w:tcBorders>
              <w:tl2br w:val="nil"/>
              <w:tr2bl w:val="nil"/>
            </w:tcBorders>
            <w:shd w:val="clear" w:color="auto" w:fill="FFFFFF"/>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1、检测箱体的接地电阻。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2、更换接触不良的部件。</w:t>
            </w:r>
          </w:p>
        </w:tc>
      </w:tr>
    </w:tbl>
    <w:p>
      <w:pPr>
        <w:pStyle w:val="59"/>
        <w:tabs>
          <w:tab w:val="center" w:pos="4201"/>
          <w:tab w:val="right" w:leader="dot" w:pos="9298"/>
        </w:tabs>
        <w:jc w:val="both"/>
        <w:rPr>
          <w:rFonts w:hint="eastAsia" w:ascii="宋体" w:hAnsi="宋体" w:eastAsia="宋体" w:cs="宋体"/>
          <w:color w:val="auto"/>
          <w:sz w:val="21"/>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850"/>
        <w:jc w:val="center"/>
        <w:textAlignment w:val="auto"/>
        <w:rPr>
          <w:rFonts w:hint="eastAsia" w:ascii="黑体" w:hAnsi="黑体" w:eastAsia="黑体" w:cs="黑体"/>
          <w:color w:val="auto"/>
          <w:highlight w:val="none"/>
        </w:rPr>
      </w:pPr>
    </w:p>
    <w:p>
      <w:pPr>
        <w:keepNext w:val="0"/>
        <w:keepLines w:val="0"/>
        <w:pageBreakBefore w:val="0"/>
        <w:widowControl w:val="0"/>
        <w:kinsoku/>
        <w:wordWrap/>
        <w:overflowPunct/>
        <w:topLinePunct w:val="0"/>
        <w:autoSpaceDE/>
        <w:autoSpaceDN/>
        <w:bidi w:val="0"/>
        <w:adjustRightInd/>
        <w:snapToGrid/>
        <w:spacing w:before="850"/>
        <w:jc w:val="center"/>
        <w:textAlignment w:val="auto"/>
        <w:rPr>
          <w:rFonts w:hint="eastAsia" w:ascii="黑体" w:hAnsi="黑体" w:eastAsia="黑体" w:cs="黑体"/>
          <w:color w:val="auto"/>
          <w:highlight w:val="none"/>
        </w:rPr>
      </w:pPr>
    </w:p>
    <w:p>
      <w:pPr>
        <w:keepNext w:val="0"/>
        <w:keepLines w:val="0"/>
        <w:pageBreakBefore w:val="0"/>
        <w:widowControl w:val="0"/>
        <w:kinsoku/>
        <w:wordWrap/>
        <w:overflowPunct/>
        <w:topLinePunct w:val="0"/>
        <w:autoSpaceDE/>
        <w:autoSpaceDN/>
        <w:bidi w:val="0"/>
        <w:adjustRightInd/>
        <w:snapToGrid/>
        <w:spacing w:before="850"/>
        <w:jc w:val="center"/>
        <w:textAlignment w:val="auto"/>
        <w:rPr>
          <w:rFonts w:hint="eastAsia" w:ascii="黑体" w:hAnsi="黑体" w:eastAsia="黑体" w:cs="黑体"/>
          <w:color w:val="auto"/>
          <w:highlight w:val="none"/>
        </w:rPr>
      </w:pPr>
    </w:p>
    <w:p>
      <w:pPr>
        <w:pStyle w:val="20"/>
        <w:rPr>
          <w:rFonts w:hint="eastAsia"/>
          <w:highlight w:val="none"/>
        </w:rPr>
      </w:pPr>
    </w:p>
    <w:p>
      <w:pPr>
        <w:keepNext w:val="0"/>
        <w:keepLines w:val="0"/>
        <w:pageBreakBefore w:val="0"/>
        <w:widowControl w:val="0"/>
        <w:kinsoku/>
        <w:wordWrap/>
        <w:overflowPunct/>
        <w:topLinePunct w:val="0"/>
        <w:autoSpaceDE/>
        <w:autoSpaceDN/>
        <w:bidi w:val="0"/>
        <w:adjustRightInd/>
        <w:snapToGrid/>
        <w:spacing w:before="850"/>
        <w:jc w:val="both"/>
        <w:textAlignment w:val="auto"/>
        <w:rPr>
          <w:rFonts w:hint="eastAsia" w:ascii="黑体" w:hAnsi="黑体" w:eastAsia="黑体" w:cs="黑体"/>
          <w:color w:val="auto"/>
          <w:highlight w:val="none"/>
        </w:rPr>
      </w:pPr>
    </w:p>
    <w:p>
      <w:pPr>
        <w:spacing w:after="312" w:afterLines="100"/>
        <w:jc w:val="center"/>
        <w:outlineLvl w:val="0"/>
        <w:rPr>
          <w:rFonts w:hint="eastAsia" w:ascii="Times New Roman" w:hAnsi="Times New Roman" w:eastAsia="宋体" w:cs="Times New Roman"/>
          <w:sz w:val="36"/>
          <w:szCs w:val="36"/>
          <w:highlight w:val="none"/>
          <w:lang w:val="en-US" w:eastAsia="zh-CN"/>
        </w:rPr>
      </w:pPr>
      <w:bookmarkStart w:id="381" w:name="_Toc19169"/>
      <w:r>
        <w:rPr>
          <w:rFonts w:hint="eastAsia" w:ascii="Times New Roman" w:hAnsi="Times New Roman" w:eastAsia="宋体" w:cs="Times New Roman"/>
          <w:sz w:val="36"/>
          <w:szCs w:val="36"/>
          <w:highlight w:val="none"/>
        </w:rPr>
        <w:t>附录</w:t>
      </w:r>
      <w:r>
        <w:rPr>
          <w:rFonts w:hint="eastAsia" w:ascii="Times New Roman" w:hAnsi="Times New Roman" w:eastAsia="宋体" w:cs="Times New Roman"/>
          <w:sz w:val="36"/>
          <w:szCs w:val="36"/>
          <w:highlight w:val="none"/>
          <w:lang w:val="en-US" w:eastAsia="zh-CN"/>
        </w:rPr>
        <w:t xml:space="preserve">B  </w:t>
      </w:r>
      <w:r>
        <w:rPr>
          <w:rFonts w:hint="eastAsia" w:ascii="Times New Roman" w:hAnsi="Times New Roman" w:eastAsia="宋体" w:cs="Times New Roman"/>
          <w:sz w:val="36"/>
          <w:szCs w:val="36"/>
          <w:highlight w:val="none"/>
          <w:lang w:eastAsia="zh-CN"/>
        </w:rPr>
        <w:t>给排水系统维护保养</w:t>
      </w:r>
      <w:bookmarkEnd w:id="381"/>
    </w:p>
    <w:p>
      <w:pPr>
        <w:pStyle w:val="20"/>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color w:val="auto"/>
          <w:sz w:val="21"/>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color w:val="auto"/>
          <w:sz w:val="21"/>
          <w:highlight w:val="none"/>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color w:val="auto"/>
          <w:sz w:val="21"/>
          <w:highlight w:val="none"/>
          <w:lang w:val="en-US" w:eastAsia="zh-CN" w:bidi="ar-SA"/>
        </w:rPr>
      </w:pPr>
      <w:r>
        <w:rPr>
          <w:rFonts w:hint="eastAsia" w:ascii="宋体" w:hAnsi="宋体" w:eastAsia="宋体" w:cs="宋体"/>
          <w:color w:val="auto"/>
          <w:sz w:val="21"/>
          <w:highlight w:val="none"/>
          <w:lang w:val="en-US" w:eastAsia="zh-CN" w:bidi="ar-SA"/>
        </w:rPr>
        <w:t>给排水系统维护保养内容见表B.1。</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color w:val="auto"/>
          <w:highlight w:val="none"/>
          <w:lang w:val="en-US" w:eastAsia="zh-CN"/>
        </w:rPr>
      </w:pPr>
      <w:r>
        <w:rPr>
          <w:rFonts w:hint="eastAsia" w:ascii="黑体" w:hAnsi="黑体" w:eastAsia="黑体" w:cs="黑体"/>
          <w:color w:val="auto"/>
          <w:sz w:val="21"/>
          <w:highlight w:val="none"/>
          <w:lang w:val="en-US" w:eastAsia="zh-CN" w:bidi="ar-SA"/>
        </w:rPr>
        <w:t>表B.1  给排水系统维护保养内容</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576"/>
        <w:gridCol w:w="576"/>
        <w:gridCol w:w="60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blHeader/>
          <w:jc w:val="center"/>
        </w:trPr>
        <w:tc>
          <w:tcPr>
            <w:tcW w:w="936" w:type="dxa"/>
            <w:tcBorders>
              <w:bottom w:val="single" w:color="000000" w:sz="12" w:space="0"/>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项目</w:t>
            </w:r>
          </w:p>
        </w:tc>
        <w:tc>
          <w:tcPr>
            <w:tcW w:w="576" w:type="dxa"/>
            <w:tcBorders>
              <w:bottom w:val="single" w:color="000000" w:sz="12" w:space="0"/>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时间</w:t>
            </w:r>
          </w:p>
        </w:tc>
        <w:tc>
          <w:tcPr>
            <w:tcW w:w="576" w:type="dxa"/>
            <w:tcBorders>
              <w:bottom w:val="single" w:color="000000" w:sz="12" w:space="0"/>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次数</w:t>
            </w:r>
          </w:p>
        </w:tc>
        <w:tc>
          <w:tcPr>
            <w:tcW w:w="6066" w:type="dxa"/>
            <w:tcBorders>
              <w:bottom w:val="single" w:color="000000" w:sz="12" w:space="0"/>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维修养护内容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vMerge w:val="restart"/>
            <w:tcBorders>
              <w:top w:val="single" w:color="000000" w:sz="12" w:space="0"/>
              <w:tl2br w:val="nil"/>
              <w:tr2bl w:val="nil"/>
            </w:tcBorders>
            <w:shd w:val="clear" w:color="auto" w:fill="FFFFFF"/>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生活泵</w:t>
            </w:r>
          </w:p>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排水</w:t>
            </w:r>
            <w:r>
              <w:rPr>
                <w:rFonts w:hint="eastAsia" w:ascii="宋体" w:hAnsi="宋体" w:eastAsia="宋体" w:cs="宋体"/>
                <w:color w:val="auto"/>
                <w:sz w:val="18"/>
                <w:szCs w:val="18"/>
                <w:highlight w:val="none"/>
              </w:rPr>
              <w:t>泵</w:t>
            </w:r>
          </w:p>
        </w:tc>
        <w:tc>
          <w:tcPr>
            <w:tcW w:w="576" w:type="dxa"/>
            <w:tcBorders>
              <w:top w:val="single" w:color="000000" w:sz="12" w:space="0"/>
              <w:tl2br w:val="nil"/>
              <w:tr2bl w:val="nil"/>
            </w:tcBorders>
            <w:shd w:val="clear" w:color="auto" w:fill="FFFFFF"/>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w:t>
            </w:r>
          </w:p>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月</w:t>
            </w:r>
          </w:p>
        </w:tc>
        <w:tc>
          <w:tcPr>
            <w:tcW w:w="576" w:type="dxa"/>
            <w:tcBorders>
              <w:top w:val="single" w:color="000000" w:sz="12" w:space="0"/>
              <w:tl2br w:val="nil"/>
              <w:tr2bl w:val="nil"/>
            </w:tcBorders>
            <w:shd w:val="clear" w:color="auto" w:fill="FFFFFF"/>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1</w:t>
            </w:r>
          </w:p>
        </w:tc>
        <w:tc>
          <w:tcPr>
            <w:tcW w:w="6066" w:type="dxa"/>
            <w:tcBorders>
              <w:top w:val="single" w:color="000000" w:sz="12" w:space="0"/>
              <w:tl2br w:val="nil"/>
              <w:tr2bl w:val="nil"/>
            </w:tcBorders>
            <w:shd w:val="clear" w:color="auto" w:fill="FFFFFF"/>
            <w:noWrap w:val="0"/>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、生活供水的主、备用泵进行手动切换试验并记录。</w:t>
            </w:r>
          </w:p>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、消防泵、喷淋泵应启动管网末端试水装置或打开水泵出水管放水试验。</w:t>
            </w:r>
          </w:p>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、注意水压表是否在检验合格后的规定时间内使用。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vMerge w:val="continue"/>
            <w:tcBorders>
              <w:tl2br w:val="nil"/>
              <w:tr2bl w:val="nil"/>
            </w:tcBorders>
            <w:shd w:val="clear" w:color="auto" w:fill="FFFFFF"/>
            <w:noWrap w:val="0"/>
            <w:vAlign w:val="center"/>
          </w:tcPr>
          <w:p>
            <w:pPr>
              <w:jc w:val="center"/>
              <w:rPr>
                <w:rFonts w:hint="eastAsia" w:ascii="宋体" w:hAnsi="宋体" w:eastAsia="宋体" w:cs="宋体"/>
                <w:color w:val="auto"/>
                <w:sz w:val="18"/>
                <w:szCs w:val="18"/>
                <w:highlight w:val="none"/>
              </w:rPr>
            </w:pPr>
          </w:p>
        </w:tc>
        <w:tc>
          <w:tcPr>
            <w:tcW w:w="576" w:type="dxa"/>
            <w:tcBorders>
              <w:tl2br w:val="nil"/>
              <w:tr2bl w:val="nil"/>
            </w:tcBorders>
            <w:shd w:val="clear" w:color="auto" w:fill="FFFFFF"/>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w:t>
            </w:r>
          </w:p>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年</w:t>
            </w:r>
          </w:p>
        </w:tc>
        <w:tc>
          <w:tcPr>
            <w:tcW w:w="576" w:type="dxa"/>
            <w:tcBorders>
              <w:tl2br w:val="nil"/>
              <w:tr2bl w:val="nil"/>
            </w:tcBorders>
            <w:shd w:val="clear" w:color="auto" w:fill="FFFFFF"/>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1</w:t>
            </w:r>
          </w:p>
        </w:tc>
        <w:tc>
          <w:tcPr>
            <w:tcW w:w="6066" w:type="dxa"/>
            <w:tcBorders>
              <w:tl2br w:val="nil"/>
              <w:tr2bl w:val="nil"/>
            </w:tcBorders>
            <w:shd w:val="clear" w:color="auto" w:fill="FFFFFF"/>
            <w:noWrap w:val="0"/>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1、电机、泵体轴承清洗加润滑油；如有异常声响，则更换同</w:t>
            </w:r>
          </w:p>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型号规格轴承。</w:t>
            </w:r>
          </w:p>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2、泵体、水泵叶轮及管道除锈、刷漆。</w:t>
            </w:r>
          </w:p>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3、检测电机接地电阻。</w:t>
            </w:r>
          </w:p>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4、检查电机与水泵弹性联轴器有无损坏，如有损坏则更换。</w:t>
            </w:r>
          </w:p>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5、更换磨损的水泵轴衬套。</w:t>
            </w:r>
          </w:p>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6、性能测试。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vMerge w:val="restart"/>
            <w:tcBorders>
              <w:tl2br w:val="nil"/>
              <w:tr2bl w:val="nil"/>
            </w:tcBorders>
            <w:shd w:val="clear" w:color="auto" w:fill="FFFFFF"/>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水箱</w:t>
            </w:r>
          </w:p>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水池</w:t>
            </w:r>
          </w:p>
        </w:tc>
        <w:tc>
          <w:tcPr>
            <w:tcW w:w="576" w:type="dxa"/>
            <w:tcBorders>
              <w:tl2br w:val="nil"/>
              <w:tr2bl w:val="nil"/>
            </w:tcBorders>
            <w:shd w:val="clear" w:color="auto" w:fill="FFFFFF"/>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w:t>
            </w:r>
          </w:p>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周</w:t>
            </w:r>
          </w:p>
        </w:tc>
        <w:tc>
          <w:tcPr>
            <w:tcW w:w="576" w:type="dxa"/>
            <w:tcBorders>
              <w:tl2br w:val="nil"/>
              <w:tr2bl w:val="nil"/>
            </w:tcBorders>
            <w:shd w:val="clear" w:color="auto" w:fill="FFFFFF"/>
            <w:noWrap w:val="0"/>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1</w:t>
            </w:r>
          </w:p>
        </w:tc>
        <w:tc>
          <w:tcPr>
            <w:tcW w:w="6066" w:type="dxa"/>
            <w:tcBorders>
              <w:tl2br w:val="nil"/>
              <w:tr2bl w:val="nil"/>
            </w:tcBorders>
            <w:shd w:val="clear" w:color="auto" w:fill="FFFFFF"/>
            <w:noWrap w:val="0"/>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1、检查外观是否完好，有无跑、冒、滴、漏现象，箱口防虫</w:t>
            </w:r>
          </w:p>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纱网是否完好。</w:t>
            </w:r>
          </w:p>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2、打开排污阀排污。</w:t>
            </w:r>
          </w:p>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3、检查进水浮球阀并作手动进水试验。</w:t>
            </w:r>
          </w:p>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4、观察水质情况，检测水的</w:t>
            </w:r>
            <w:r>
              <w:rPr>
                <w:rFonts w:hint="eastAsia" w:ascii="宋体" w:hAnsi="宋体" w:cs="宋体"/>
                <w:color w:val="auto"/>
                <w:sz w:val="18"/>
                <w:szCs w:val="18"/>
                <w:highlight w:val="none"/>
                <w:lang w:val="en-US" w:eastAsia="zh-CN"/>
              </w:rPr>
              <w:t>p</w:t>
            </w:r>
            <w:r>
              <w:rPr>
                <w:rFonts w:hint="eastAsia" w:ascii="宋体" w:hAnsi="宋体" w:eastAsia="宋体" w:cs="宋体"/>
                <w:color w:val="auto"/>
                <w:sz w:val="18"/>
                <w:szCs w:val="18"/>
                <w:highlight w:val="none"/>
              </w:rPr>
              <w:t>H值和含氯量。</w:t>
            </w:r>
          </w:p>
          <w:p>
            <w:pPr>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5、水箱、水池盖板是否上锁并且完好</w:t>
            </w:r>
            <w:r>
              <w:rPr>
                <w:rFonts w:hint="eastAsia" w:ascii="宋体" w:hAnsi="宋体" w:eastAsia="宋体" w:cs="宋体"/>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vMerge w:val="continue"/>
            <w:tcBorders>
              <w:tl2br w:val="nil"/>
              <w:tr2bl w:val="nil"/>
            </w:tcBorders>
            <w:shd w:val="clear" w:color="auto" w:fill="FFFFFF"/>
            <w:noWrap w:val="0"/>
            <w:vAlign w:val="center"/>
          </w:tcPr>
          <w:p>
            <w:pPr>
              <w:jc w:val="center"/>
              <w:rPr>
                <w:rFonts w:hint="eastAsia" w:ascii="宋体" w:hAnsi="宋体" w:eastAsia="宋体" w:cs="宋体"/>
                <w:color w:val="auto"/>
                <w:sz w:val="18"/>
                <w:szCs w:val="18"/>
                <w:highlight w:val="none"/>
              </w:rPr>
            </w:pPr>
          </w:p>
        </w:tc>
        <w:tc>
          <w:tcPr>
            <w:tcW w:w="576" w:type="dxa"/>
            <w:tcBorders>
              <w:tl2br w:val="nil"/>
              <w:tr2bl w:val="nil"/>
            </w:tcBorders>
            <w:shd w:val="clear" w:color="auto" w:fill="FFFFFF"/>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w:t>
            </w:r>
          </w:p>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半</w:t>
            </w:r>
          </w:p>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年</w:t>
            </w:r>
          </w:p>
        </w:tc>
        <w:tc>
          <w:tcPr>
            <w:tcW w:w="576" w:type="dxa"/>
            <w:tcBorders>
              <w:tl2br w:val="nil"/>
              <w:tr2bl w:val="nil"/>
            </w:tcBorders>
            <w:shd w:val="clear" w:color="auto" w:fill="FFFFFF"/>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1</w:t>
            </w:r>
          </w:p>
        </w:tc>
        <w:tc>
          <w:tcPr>
            <w:tcW w:w="6066" w:type="dxa"/>
            <w:tcBorders>
              <w:tl2br w:val="nil"/>
              <w:tr2bl w:val="nil"/>
            </w:tcBorders>
            <w:shd w:val="clear" w:color="auto" w:fill="FFFFFF"/>
            <w:noWrap w:val="0"/>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1、清洗水池，按比例投放漂白粉进行消毒。</w:t>
            </w:r>
          </w:p>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2、送水样至市卫生防疫站进行水质化验。</w:t>
            </w:r>
          </w:p>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3、各类金属构件及管道作防锈处理。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tcBorders>
              <w:tl2br w:val="nil"/>
              <w:tr2bl w:val="nil"/>
            </w:tcBorders>
            <w:shd w:val="clear" w:color="auto" w:fill="FFFFFF"/>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给水井</w:t>
            </w:r>
          </w:p>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雨水井</w:t>
            </w:r>
          </w:p>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污水井</w:t>
            </w:r>
          </w:p>
        </w:tc>
        <w:tc>
          <w:tcPr>
            <w:tcW w:w="576" w:type="dxa"/>
            <w:tcBorders>
              <w:tl2br w:val="nil"/>
              <w:tr2bl w:val="nil"/>
            </w:tcBorders>
            <w:shd w:val="clear" w:color="auto" w:fill="FFFFFF"/>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半</w:t>
            </w:r>
          </w:p>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年</w:t>
            </w:r>
          </w:p>
        </w:tc>
        <w:tc>
          <w:tcPr>
            <w:tcW w:w="576" w:type="dxa"/>
            <w:tcBorders>
              <w:tl2br w:val="nil"/>
              <w:tr2bl w:val="nil"/>
            </w:tcBorders>
            <w:shd w:val="clear" w:color="auto" w:fill="FFFFFF"/>
            <w:noWrap w:val="0"/>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1</w:t>
            </w:r>
          </w:p>
        </w:tc>
        <w:tc>
          <w:tcPr>
            <w:tcW w:w="6066" w:type="dxa"/>
            <w:tcBorders>
              <w:tl2br w:val="nil"/>
              <w:tr2bl w:val="nil"/>
            </w:tcBorders>
            <w:shd w:val="clear" w:color="auto" w:fill="FFFFFF"/>
            <w:noWrap w:val="0"/>
            <w:vAlign w:val="center"/>
          </w:tcPr>
          <w:p>
            <w:pPr>
              <w:jc w:val="left"/>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rPr>
              <w:t>、清理污泥，疏通下水管道。</w:t>
            </w:r>
          </w:p>
          <w:p>
            <w:pPr>
              <w:jc w:val="left"/>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rPr>
              <w:t>、各类井盖及金属构件刷漆。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vMerge w:val="restart"/>
            <w:tcBorders>
              <w:tl2br w:val="nil"/>
              <w:tr2bl w:val="nil"/>
            </w:tcBorders>
            <w:shd w:val="clear" w:color="auto" w:fill="FFFFFF"/>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供水</w:t>
            </w:r>
          </w:p>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排污</w:t>
            </w:r>
          </w:p>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管网</w:t>
            </w:r>
          </w:p>
        </w:tc>
        <w:tc>
          <w:tcPr>
            <w:tcW w:w="576" w:type="dxa"/>
            <w:tcBorders>
              <w:tl2br w:val="nil"/>
              <w:tr2bl w:val="nil"/>
            </w:tcBorders>
            <w:shd w:val="clear" w:color="auto" w:fill="FFFFFF"/>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w:t>
            </w:r>
          </w:p>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季</w:t>
            </w:r>
          </w:p>
        </w:tc>
        <w:tc>
          <w:tcPr>
            <w:tcW w:w="576" w:type="dxa"/>
            <w:tcBorders>
              <w:tl2br w:val="nil"/>
              <w:tr2bl w:val="nil"/>
            </w:tcBorders>
            <w:shd w:val="clear" w:color="auto" w:fill="FFFFFF"/>
            <w:noWrap w:val="0"/>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1</w:t>
            </w:r>
          </w:p>
        </w:tc>
        <w:tc>
          <w:tcPr>
            <w:tcW w:w="6066" w:type="dxa"/>
            <w:tcBorders>
              <w:tl2br w:val="nil"/>
              <w:tr2bl w:val="nil"/>
            </w:tcBorders>
            <w:shd w:val="clear" w:color="auto" w:fill="FFFFFF"/>
            <w:noWrap w:val="0"/>
            <w:vAlign w:val="center"/>
          </w:tcPr>
          <w:p>
            <w:pPr>
              <w:jc w:val="left"/>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1</w:t>
            </w:r>
            <w:r>
              <w:rPr>
                <w:rFonts w:hint="eastAsia" w:ascii="宋体" w:hAnsi="宋体" w:eastAsia="宋体" w:cs="宋体"/>
                <w:color w:val="auto"/>
                <w:sz w:val="18"/>
                <w:szCs w:val="18"/>
                <w:highlight w:val="none"/>
              </w:rPr>
              <w:t>、清理管道内的杂物，疏通排污管道。</w:t>
            </w:r>
          </w:p>
          <w:p>
            <w:pPr>
              <w:jc w:val="left"/>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rPr>
              <w:t>、检查闸阀开启、关闭是否灵活，有无跑、冒、滴、漏现象。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vMerge w:val="continue"/>
            <w:tcBorders>
              <w:tl2br w:val="nil"/>
              <w:tr2bl w:val="nil"/>
            </w:tcBorders>
            <w:shd w:val="clear" w:color="auto" w:fill="FFFFFF"/>
            <w:noWrap w:val="0"/>
            <w:vAlign w:val="center"/>
          </w:tcPr>
          <w:p>
            <w:pPr>
              <w:jc w:val="center"/>
              <w:rPr>
                <w:rFonts w:hint="eastAsia" w:ascii="宋体" w:hAnsi="宋体" w:eastAsia="宋体" w:cs="宋体"/>
                <w:color w:val="auto"/>
                <w:sz w:val="18"/>
                <w:szCs w:val="18"/>
                <w:highlight w:val="none"/>
              </w:rPr>
            </w:pPr>
          </w:p>
        </w:tc>
        <w:tc>
          <w:tcPr>
            <w:tcW w:w="576" w:type="dxa"/>
            <w:tcBorders>
              <w:tl2br w:val="nil"/>
              <w:tr2bl w:val="nil"/>
            </w:tcBorders>
            <w:shd w:val="clear" w:color="auto" w:fill="FFFFFF"/>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每</w:t>
            </w:r>
          </w:p>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年</w:t>
            </w:r>
          </w:p>
        </w:tc>
        <w:tc>
          <w:tcPr>
            <w:tcW w:w="576" w:type="dxa"/>
            <w:tcBorders>
              <w:tl2br w:val="nil"/>
              <w:tr2bl w:val="nil"/>
            </w:tcBorders>
            <w:shd w:val="clear" w:color="auto" w:fill="FFFFFF"/>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1</w:t>
            </w:r>
          </w:p>
        </w:tc>
        <w:tc>
          <w:tcPr>
            <w:tcW w:w="6066" w:type="dxa"/>
            <w:tcBorders>
              <w:tl2br w:val="nil"/>
              <w:tr2bl w:val="nil"/>
            </w:tcBorders>
            <w:shd w:val="clear" w:color="auto" w:fill="FFFFFF"/>
            <w:noWrap w:val="0"/>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1、重复上述内容。</w:t>
            </w:r>
          </w:p>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2、检查修整全部管架。</w:t>
            </w:r>
          </w:p>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3、管道及支架除锈刷漆。</w:t>
            </w:r>
          </w:p>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4、检查止回阀、浮球阀、液位控制器是否正常。</w:t>
            </w:r>
          </w:p>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5、管道内部清洗、作防腐处理。</w:t>
            </w:r>
          </w:p>
          <w:p>
            <w:pPr>
              <w:jc w:val="left"/>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6</w:t>
            </w:r>
            <w:r>
              <w:rPr>
                <w:rFonts w:hint="eastAsia" w:ascii="宋体" w:hAnsi="宋体" w:eastAsia="宋体" w:cs="宋体"/>
                <w:color w:val="auto"/>
                <w:sz w:val="18"/>
                <w:szCs w:val="18"/>
                <w:highlight w:val="none"/>
              </w:rPr>
              <w:t>、各类阀门丝杆上油作防锈处理。</w:t>
            </w:r>
          </w:p>
        </w:tc>
      </w:tr>
    </w:tbl>
    <w:p>
      <w:pPr>
        <w:keepNext w:val="0"/>
        <w:keepLines w:val="0"/>
        <w:pageBreakBefore w:val="0"/>
        <w:widowControl w:val="0"/>
        <w:kinsoku/>
        <w:wordWrap/>
        <w:overflowPunct/>
        <w:topLinePunct w:val="0"/>
        <w:autoSpaceDE/>
        <w:autoSpaceDN/>
        <w:bidi w:val="0"/>
        <w:adjustRightInd/>
        <w:snapToGrid/>
        <w:spacing w:before="850"/>
        <w:jc w:val="center"/>
        <w:textAlignment w:val="auto"/>
        <w:rPr>
          <w:rFonts w:hint="eastAsia" w:ascii="黑体" w:hAnsi="黑体" w:eastAsia="黑体" w:cs="黑体"/>
          <w:color w:val="auto"/>
          <w:highlight w:val="none"/>
        </w:rPr>
      </w:pPr>
    </w:p>
    <w:p>
      <w:pPr>
        <w:spacing w:after="312" w:afterLines="100"/>
        <w:jc w:val="center"/>
        <w:outlineLvl w:val="0"/>
        <w:rPr>
          <w:rFonts w:hint="eastAsia" w:ascii="Times New Roman" w:hAnsi="Times New Roman" w:eastAsia="宋体" w:cs="Times New Roman"/>
          <w:sz w:val="36"/>
          <w:szCs w:val="36"/>
          <w:highlight w:val="none"/>
          <w:lang w:val="en-US" w:eastAsia="zh-CN"/>
        </w:rPr>
      </w:pPr>
      <w:bookmarkStart w:id="382" w:name="_Toc21175"/>
      <w:r>
        <w:rPr>
          <w:rFonts w:hint="eastAsia" w:ascii="Times New Roman" w:hAnsi="Times New Roman" w:eastAsia="宋体" w:cs="Times New Roman"/>
          <w:sz w:val="36"/>
          <w:szCs w:val="36"/>
          <w:highlight w:val="none"/>
        </w:rPr>
        <w:t>附录</w:t>
      </w:r>
      <w:r>
        <w:rPr>
          <w:rFonts w:hint="eastAsia" w:ascii="Times New Roman" w:hAnsi="Times New Roman" w:eastAsia="宋体" w:cs="Times New Roman"/>
          <w:sz w:val="36"/>
          <w:szCs w:val="36"/>
          <w:highlight w:val="none"/>
          <w:lang w:val="en-US" w:eastAsia="zh-CN"/>
        </w:rPr>
        <w:t xml:space="preserve">C  </w:t>
      </w:r>
      <w:r>
        <w:rPr>
          <w:rFonts w:hint="eastAsia" w:ascii="Times New Roman" w:hAnsi="Times New Roman" w:eastAsia="宋体" w:cs="Times New Roman"/>
          <w:sz w:val="36"/>
          <w:szCs w:val="36"/>
          <w:highlight w:val="none"/>
          <w:lang w:eastAsia="zh-CN"/>
        </w:rPr>
        <w:t>安全技术防范与多媒体系统巡查维护</w:t>
      </w:r>
      <w:bookmarkEnd w:id="382"/>
    </w:p>
    <w:p>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0" w:leftChars="0" w:firstLine="420" w:firstLineChars="200"/>
        <w:jc w:val="both"/>
        <w:textAlignment w:val="auto"/>
        <w:rPr>
          <w:rFonts w:hint="eastAsia" w:ascii="宋体" w:hAnsi="宋体" w:eastAsia="宋体" w:cs="宋体"/>
          <w:color w:val="auto"/>
          <w:sz w:val="21"/>
          <w:highlight w:val="none"/>
          <w:lang w:val="en-US" w:eastAsia="zh-CN" w:bidi="ar-SA"/>
        </w:rPr>
      </w:pPr>
    </w:p>
    <w:p>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0" w:leftChars="0" w:firstLine="420" w:firstLineChars="200"/>
        <w:jc w:val="both"/>
        <w:textAlignment w:val="auto"/>
        <w:rPr>
          <w:rFonts w:hint="eastAsia" w:ascii="宋体" w:hAnsi="宋体" w:eastAsia="宋体" w:cs="宋体"/>
          <w:color w:val="auto"/>
          <w:sz w:val="21"/>
          <w:highlight w:val="none"/>
          <w:lang w:val="en-US" w:eastAsia="zh-CN" w:bidi="ar-SA"/>
        </w:rPr>
      </w:pPr>
    </w:p>
    <w:p>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0" w:leftChars="0" w:firstLine="420" w:firstLineChars="200"/>
        <w:jc w:val="both"/>
        <w:textAlignment w:val="auto"/>
        <w:rPr>
          <w:rFonts w:hint="eastAsia" w:ascii="宋体" w:hAnsi="宋体" w:eastAsia="宋体" w:cs="宋体"/>
          <w:color w:val="auto"/>
          <w:sz w:val="21"/>
          <w:highlight w:val="none"/>
          <w:lang w:val="en-US" w:eastAsia="zh-CN" w:bidi="ar-SA"/>
        </w:rPr>
      </w:pPr>
      <w:r>
        <w:rPr>
          <w:rFonts w:hint="eastAsia" w:ascii="宋体" w:hAnsi="宋体" w:eastAsia="宋体" w:cs="宋体"/>
          <w:color w:val="auto"/>
          <w:sz w:val="21"/>
          <w:highlight w:val="none"/>
          <w:lang w:val="en-US" w:eastAsia="zh-CN" w:bidi="ar-SA"/>
        </w:rPr>
        <w:t>安全技术防范与多媒体系统巡查维护内容见表</w:t>
      </w:r>
      <w:r>
        <w:rPr>
          <w:rFonts w:hint="eastAsia" w:hAnsi="宋体" w:eastAsia="宋体" w:cs="宋体"/>
          <w:color w:val="auto"/>
          <w:sz w:val="21"/>
          <w:highlight w:val="none"/>
          <w:lang w:val="en-US" w:eastAsia="zh-CN" w:bidi="ar-SA"/>
        </w:rPr>
        <w:t>C</w:t>
      </w:r>
      <w:r>
        <w:rPr>
          <w:rFonts w:hint="eastAsia" w:ascii="宋体" w:hAnsi="宋体" w:eastAsia="宋体" w:cs="宋体"/>
          <w:color w:val="auto"/>
          <w:sz w:val="21"/>
          <w:highlight w:val="none"/>
          <w:lang w:val="en-US" w:eastAsia="zh-CN" w:bidi="ar-SA"/>
        </w:rPr>
        <w:t>.1。</w:t>
      </w:r>
    </w:p>
    <w:p>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after="157" w:afterLines="50"/>
        <w:ind w:left="0" w:leftChars="0" w:firstLine="420" w:firstLineChars="200"/>
        <w:jc w:val="center"/>
        <w:textAlignment w:val="auto"/>
        <w:rPr>
          <w:rFonts w:hint="eastAsia" w:ascii="黑体" w:hAnsi="黑体" w:eastAsia="黑体" w:cs="黑体"/>
          <w:color w:val="auto"/>
          <w:sz w:val="21"/>
          <w:highlight w:val="none"/>
          <w:lang w:val="en-US" w:eastAsia="zh-CN" w:bidi="ar-SA"/>
        </w:rPr>
      </w:pPr>
      <w:r>
        <w:rPr>
          <w:rFonts w:hint="eastAsia" w:ascii="黑体" w:hAnsi="黑体" w:eastAsia="黑体" w:cs="黑体"/>
          <w:color w:val="auto"/>
          <w:sz w:val="21"/>
          <w:highlight w:val="none"/>
          <w:lang w:val="en-US" w:eastAsia="zh-CN" w:bidi="ar-SA"/>
        </w:rPr>
        <w:t>表C.1  安全技术防范与多媒体系统巡查维护内容</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750"/>
        <w:gridCol w:w="613"/>
        <w:gridCol w:w="45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blHeader/>
          <w:jc w:val="center"/>
        </w:trPr>
        <w:tc>
          <w:tcPr>
            <w:tcW w:w="2366" w:type="dxa"/>
            <w:tcBorders>
              <w:bottom w:val="single" w:color="000000" w:sz="12" w:space="0"/>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项目</w:t>
            </w:r>
          </w:p>
        </w:tc>
        <w:tc>
          <w:tcPr>
            <w:tcW w:w="750" w:type="dxa"/>
            <w:tcBorders>
              <w:bottom w:val="single" w:color="000000" w:sz="12" w:space="0"/>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时间</w:t>
            </w:r>
          </w:p>
        </w:tc>
        <w:tc>
          <w:tcPr>
            <w:tcW w:w="613" w:type="dxa"/>
            <w:tcBorders>
              <w:bottom w:val="single" w:color="000000" w:sz="12" w:space="0"/>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次数</w:t>
            </w:r>
          </w:p>
        </w:tc>
        <w:tc>
          <w:tcPr>
            <w:tcW w:w="4541" w:type="dxa"/>
            <w:tcBorders>
              <w:bottom w:val="single" w:color="000000" w:sz="12" w:space="0"/>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维修养护内容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0" w:type="dxa"/>
            <w:gridSpan w:val="4"/>
            <w:tcBorders>
              <w:top w:val="single" w:color="000000" w:sz="12" w:space="0"/>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闭路监控系统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6" w:type="dxa"/>
            <w:vMerge w:val="restart"/>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摄像机</w:t>
            </w:r>
          </w:p>
        </w:tc>
        <w:tc>
          <w:tcPr>
            <w:tcW w:w="750" w:type="dxa"/>
            <w:tcBorders>
              <w:tl2br w:val="nil"/>
              <w:tr2bl w:val="nil"/>
            </w:tcBorders>
            <w:shd w:val="clear" w:color="auto" w:fill="FFFFFF"/>
            <w:noWrap w:val="0"/>
            <w:vAlign w:val="center"/>
          </w:tcPr>
          <w:p>
            <w:pPr>
              <w:jc w:val="center"/>
              <w:rPr>
                <w:rFonts w:hint="default"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rPr>
              <w:t>每</w:t>
            </w:r>
            <w:r>
              <w:rPr>
                <w:rFonts w:hint="eastAsia" w:ascii="宋体" w:hAnsi="宋体" w:cs="宋体"/>
                <w:b w:val="0"/>
                <w:bCs w:val="0"/>
                <w:color w:val="auto"/>
                <w:sz w:val="18"/>
                <w:szCs w:val="18"/>
                <w:highlight w:val="none"/>
                <w:lang w:val="en-US" w:eastAsia="zh-CN"/>
              </w:rPr>
              <w:t>半年</w:t>
            </w:r>
          </w:p>
        </w:tc>
        <w:tc>
          <w:tcPr>
            <w:tcW w:w="613" w:type="dxa"/>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rPr>
              <w:t>1</w:t>
            </w:r>
          </w:p>
        </w:tc>
        <w:tc>
          <w:tcPr>
            <w:tcW w:w="4541" w:type="dxa"/>
            <w:tcBorders>
              <w:tl2br w:val="nil"/>
              <w:tr2bl w:val="nil"/>
            </w:tcBorders>
            <w:shd w:val="clear" w:color="auto" w:fill="FFFFFF"/>
            <w:noWrap w:val="0"/>
            <w:vAlign w:val="top"/>
          </w:tcPr>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1、线路整理。</w:t>
            </w:r>
          </w:p>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2、检查各视频及音频接头。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6" w:type="dxa"/>
            <w:vMerge w:val="continue"/>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p>
        </w:tc>
        <w:tc>
          <w:tcPr>
            <w:tcW w:w="750" w:type="dxa"/>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每年</w:t>
            </w:r>
          </w:p>
        </w:tc>
        <w:tc>
          <w:tcPr>
            <w:tcW w:w="613" w:type="dxa"/>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rPr>
              <w:t>1</w:t>
            </w:r>
          </w:p>
        </w:tc>
        <w:tc>
          <w:tcPr>
            <w:tcW w:w="4541" w:type="dxa"/>
            <w:tcBorders>
              <w:tl2br w:val="nil"/>
              <w:tr2bl w:val="nil"/>
            </w:tcBorders>
            <w:shd w:val="clear" w:color="auto" w:fill="FFFFFF"/>
            <w:noWrap w:val="0"/>
            <w:vAlign w:val="top"/>
          </w:tcPr>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1、检查各线路接口是否正常、线路是否侵蚀老化。</w:t>
            </w:r>
          </w:p>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2、线路标号是否清晰可见，合理编排线路并检修调整。</w:t>
            </w:r>
          </w:p>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3、检查云台机械机构和电动元器件的工作情况。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6" w:type="dxa"/>
            <w:vMerge w:val="restart"/>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计算机</w:t>
            </w:r>
          </w:p>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监视器</w:t>
            </w:r>
          </w:p>
        </w:tc>
        <w:tc>
          <w:tcPr>
            <w:tcW w:w="750" w:type="dxa"/>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每</w:t>
            </w:r>
            <w:r>
              <w:rPr>
                <w:rFonts w:hint="eastAsia" w:ascii="宋体" w:hAnsi="宋体" w:cs="宋体"/>
                <w:b w:val="0"/>
                <w:bCs w:val="0"/>
                <w:color w:val="auto"/>
                <w:sz w:val="18"/>
                <w:szCs w:val="18"/>
                <w:highlight w:val="none"/>
                <w:lang w:val="en-US" w:eastAsia="zh-CN"/>
              </w:rPr>
              <w:t>半年</w:t>
            </w:r>
          </w:p>
        </w:tc>
        <w:tc>
          <w:tcPr>
            <w:tcW w:w="613" w:type="dxa"/>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rPr>
              <w:t>1</w:t>
            </w:r>
          </w:p>
        </w:tc>
        <w:tc>
          <w:tcPr>
            <w:tcW w:w="4541" w:type="dxa"/>
            <w:tcBorders>
              <w:tl2br w:val="nil"/>
              <w:tr2bl w:val="nil"/>
            </w:tcBorders>
            <w:shd w:val="clear" w:color="auto" w:fill="FFFFFF"/>
            <w:noWrap w:val="0"/>
            <w:vAlign w:val="top"/>
          </w:tcPr>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1、主机、显示器及打印机清洁除尘。</w:t>
            </w:r>
          </w:p>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2、检测UPS工作情况是否正常。</w:t>
            </w:r>
          </w:p>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3、检查各连接线路是否牢固完好，是否有养护腐蚀现象。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6" w:type="dxa"/>
            <w:vMerge w:val="continue"/>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p>
        </w:tc>
        <w:tc>
          <w:tcPr>
            <w:tcW w:w="750" w:type="dxa"/>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每半年</w:t>
            </w:r>
          </w:p>
        </w:tc>
        <w:tc>
          <w:tcPr>
            <w:tcW w:w="613" w:type="dxa"/>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rPr>
              <w:t>1</w:t>
            </w:r>
          </w:p>
        </w:tc>
        <w:tc>
          <w:tcPr>
            <w:tcW w:w="4541" w:type="dxa"/>
            <w:tcBorders>
              <w:tl2br w:val="nil"/>
              <w:tr2bl w:val="nil"/>
            </w:tcBorders>
            <w:shd w:val="clear" w:color="auto" w:fill="FFFFFF"/>
            <w:noWrap w:val="0"/>
            <w:vAlign w:val="top"/>
          </w:tcPr>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1、清洁主机内部灰尘。</w:t>
            </w:r>
          </w:p>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2、数据整理与备份。</w:t>
            </w:r>
          </w:p>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3、计算机数据整理、内部测试。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6" w:type="dxa"/>
            <w:vMerge w:val="restart"/>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录像机</w:t>
            </w:r>
          </w:p>
        </w:tc>
        <w:tc>
          <w:tcPr>
            <w:tcW w:w="750" w:type="dxa"/>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每周</w:t>
            </w:r>
          </w:p>
        </w:tc>
        <w:tc>
          <w:tcPr>
            <w:tcW w:w="613" w:type="dxa"/>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rPr>
              <w:t>1</w:t>
            </w:r>
          </w:p>
        </w:tc>
        <w:tc>
          <w:tcPr>
            <w:tcW w:w="4541" w:type="dxa"/>
            <w:tcBorders>
              <w:tl2br w:val="nil"/>
              <w:tr2bl w:val="nil"/>
            </w:tcBorders>
            <w:shd w:val="clear" w:color="auto" w:fill="FFFFFF"/>
            <w:noWrap w:val="0"/>
            <w:vAlign w:val="top"/>
          </w:tcPr>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1、清洁除尘。</w:t>
            </w:r>
          </w:p>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2、检查外观是否完好。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6" w:type="dxa"/>
            <w:vMerge w:val="continue"/>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p>
        </w:tc>
        <w:tc>
          <w:tcPr>
            <w:tcW w:w="750" w:type="dxa"/>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每月</w:t>
            </w:r>
          </w:p>
        </w:tc>
        <w:tc>
          <w:tcPr>
            <w:tcW w:w="613" w:type="dxa"/>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rPr>
              <w:t>1</w:t>
            </w:r>
          </w:p>
        </w:tc>
        <w:tc>
          <w:tcPr>
            <w:tcW w:w="4541" w:type="dxa"/>
            <w:tcBorders>
              <w:tl2br w:val="nil"/>
              <w:tr2bl w:val="nil"/>
            </w:tcBorders>
            <w:shd w:val="clear" w:color="auto" w:fill="FFFFFF"/>
            <w:noWrap w:val="0"/>
            <w:vAlign w:val="top"/>
          </w:tcPr>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1、检察录制标准。</w:t>
            </w:r>
          </w:p>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2、测试各功能键的工作情况。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6" w:type="dxa"/>
            <w:vMerge w:val="continue"/>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p>
        </w:tc>
        <w:tc>
          <w:tcPr>
            <w:tcW w:w="750" w:type="dxa"/>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每半年</w:t>
            </w:r>
          </w:p>
        </w:tc>
        <w:tc>
          <w:tcPr>
            <w:tcW w:w="613" w:type="dxa"/>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rPr>
              <w:t>1</w:t>
            </w:r>
          </w:p>
        </w:tc>
        <w:tc>
          <w:tcPr>
            <w:tcW w:w="4541" w:type="dxa"/>
            <w:tcBorders>
              <w:tl2br w:val="nil"/>
              <w:tr2bl w:val="nil"/>
            </w:tcBorders>
            <w:shd w:val="clear" w:color="auto" w:fill="FFFFFF"/>
            <w:noWrap w:val="0"/>
            <w:vAlign w:val="center"/>
          </w:tcPr>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检测音频和视频接口，测试各项性能指标。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6" w:type="dxa"/>
            <w:vMerge w:val="restart"/>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画面分割器</w:t>
            </w:r>
          </w:p>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AD主机</w:t>
            </w:r>
          </w:p>
        </w:tc>
        <w:tc>
          <w:tcPr>
            <w:tcW w:w="750" w:type="dxa"/>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每周</w:t>
            </w:r>
          </w:p>
        </w:tc>
        <w:tc>
          <w:tcPr>
            <w:tcW w:w="613" w:type="dxa"/>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rPr>
              <w:t>1</w:t>
            </w:r>
          </w:p>
        </w:tc>
        <w:tc>
          <w:tcPr>
            <w:tcW w:w="4541" w:type="dxa"/>
            <w:tcBorders>
              <w:tl2br w:val="nil"/>
              <w:tr2bl w:val="nil"/>
            </w:tcBorders>
            <w:shd w:val="clear" w:color="auto" w:fill="FFFFFF"/>
            <w:noWrap w:val="0"/>
            <w:vAlign w:val="top"/>
          </w:tcPr>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1、清洁除尘。</w:t>
            </w:r>
          </w:p>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2、检查外观是否完好。</w:t>
            </w:r>
          </w:p>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3、检查连接线的牢固程度。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6" w:type="dxa"/>
            <w:vMerge w:val="continue"/>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p>
        </w:tc>
        <w:tc>
          <w:tcPr>
            <w:tcW w:w="750" w:type="dxa"/>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每季</w:t>
            </w:r>
          </w:p>
        </w:tc>
        <w:tc>
          <w:tcPr>
            <w:tcW w:w="613" w:type="dxa"/>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rPr>
              <w:t>1</w:t>
            </w:r>
          </w:p>
        </w:tc>
        <w:tc>
          <w:tcPr>
            <w:tcW w:w="4541" w:type="dxa"/>
            <w:tcBorders>
              <w:tl2br w:val="nil"/>
              <w:tr2bl w:val="nil"/>
            </w:tcBorders>
            <w:shd w:val="clear" w:color="auto" w:fill="FFFFFF"/>
            <w:noWrap w:val="0"/>
            <w:vAlign w:val="center"/>
          </w:tcPr>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测试各功能键的工作情况。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6" w:type="dxa"/>
            <w:vMerge w:val="continue"/>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p>
        </w:tc>
        <w:tc>
          <w:tcPr>
            <w:tcW w:w="750" w:type="dxa"/>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每年</w:t>
            </w:r>
          </w:p>
        </w:tc>
        <w:tc>
          <w:tcPr>
            <w:tcW w:w="613" w:type="dxa"/>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rPr>
              <w:t>1</w:t>
            </w:r>
          </w:p>
        </w:tc>
        <w:tc>
          <w:tcPr>
            <w:tcW w:w="4541" w:type="dxa"/>
            <w:tcBorders>
              <w:tl2br w:val="nil"/>
              <w:tr2bl w:val="nil"/>
            </w:tcBorders>
            <w:shd w:val="clear" w:color="auto" w:fill="FFFFFF"/>
            <w:noWrap w:val="0"/>
            <w:vAlign w:val="center"/>
          </w:tcPr>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线路整理，功能测试。</w:t>
            </w:r>
          </w:p>
        </w:tc>
      </w:tr>
    </w:tbl>
    <w:p>
      <w:pPr>
        <w:rPr>
          <w:color w:val="auto"/>
          <w:highlight w:val="none"/>
        </w:rPr>
      </w:pPr>
    </w:p>
    <w:p>
      <w:pPr>
        <w:pStyle w:val="20"/>
        <w:rPr>
          <w:color w:val="auto"/>
          <w:highlight w:val="none"/>
        </w:rPr>
      </w:pPr>
    </w:p>
    <w:p>
      <w:pPr>
        <w:rPr>
          <w:color w:val="auto"/>
          <w:highlight w:val="none"/>
        </w:rPr>
      </w:pPr>
    </w:p>
    <w:p>
      <w:pPr>
        <w:rPr>
          <w:color w:val="auto"/>
          <w:highlight w:val="none"/>
        </w:rPr>
      </w:pPr>
    </w:p>
    <w:p>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after="157" w:afterLines="50"/>
        <w:ind w:left="0" w:leftChars="0" w:firstLine="420" w:firstLineChars="200"/>
        <w:jc w:val="center"/>
        <w:textAlignment w:val="auto"/>
        <w:rPr>
          <w:rFonts w:hint="eastAsia" w:ascii="黑体" w:hAnsi="黑体" w:eastAsia="黑体" w:cs="黑体"/>
          <w:color w:val="auto"/>
          <w:sz w:val="21"/>
          <w:highlight w:val="none"/>
          <w:lang w:val="en-US" w:eastAsia="zh-CN" w:bidi="ar-SA"/>
        </w:rPr>
      </w:pPr>
    </w:p>
    <w:p>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after="157" w:afterLines="50"/>
        <w:ind w:left="0" w:leftChars="0" w:firstLine="420" w:firstLineChars="200"/>
        <w:jc w:val="center"/>
        <w:textAlignment w:val="auto"/>
        <w:rPr>
          <w:rFonts w:hint="eastAsia" w:ascii="黑体" w:hAnsi="黑体" w:eastAsia="黑体" w:cs="黑体"/>
          <w:color w:val="auto"/>
          <w:sz w:val="21"/>
          <w:highlight w:val="none"/>
          <w:lang w:val="en-US" w:eastAsia="zh-CN" w:bidi="ar-SA"/>
        </w:rPr>
      </w:pPr>
    </w:p>
    <w:p>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after="157" w:afterLines="50"/>
        <w:ind w:left="0" w:leftChars="0" w:firstLine="420" w:firstLineChars="200"/>
        <w:jc w:val="center"/>
        <w:textAlignment w:val="auto"/>
        <w:rPr>
          <w:rFonts w:hint="eastAsia" w:ascii="黑体" w:hAnsi="黑体" w:eastAsia="黑体" w:cs="黑体"/>
          <w:color w:val="auto"/>
          <w:sz w:val="21"/>
          <w:highlight w:val="none"/>
          <w:lang w:val="en-US" w:eastAsia="zh-CN" w:bidi="ar-SA"/>
        </w:rPr>
      </w:pPr>
    </w:p>
    <w:p>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after="157" w:afterLines="50"/>
        <w:ind w:left="0" w:leftChars="0" w:firstLine="0" w:firstLineChars="0"/>
        <w:jc w:val="center"/>
        <w:textAlignment w:val="auto"/>
        <w:rPr>
          <w:rFonts w:hint="default" w:ascii="宋体" w:hAnsi="宋体" w:eastAsia="宋体" w:cs="宋体"/>
          <w:color w:val="auto"/>
          <w:sz w:val="21"/>
          <w:highlight w:val="none"/>
          <w:lang w:val="en-US" w:eastAsia="zh-CN" w:bidi="ar-SA"/>
        </w:rPr>
      </w:pPr>
      <w:r>
        <w:rPr>
          <w:rFonts w:hint="eastAsia" w:ascii="宋体" w:hAnsi="宋体" w:eastAsia="宋体" w:cs="宋体"/>
          <w:color w:val="auto"/>
          <w:sz w:val="21"/>
          <w:highlight w:val="none"/>
          <w:lang w:val="en-US" w:eastAsia="zh-CN" w:bidi="ar-SA"/>
        </w:rPr>
        <w:t>续表C.1</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56"/>
        <w:gridCol w:w="611"/>
        <w:gridCol w:w="45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tcBorders>
              <w:bottom w:val="single" w:color="000000" w:sz="12" w:space="0"/>
            </w:tcBorders>
            <w:shd w:val="clear" w:color="auto" w:fill="FFFFFF"/>
            <w:noWrap w:val="0"/>
            <w:vAlign w:val="center"/>
          </w:tcPr>
          <w:p>
            <w:pPr>
              <w:jc w:val="center"/>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color w:val="auto"/>
                <w:sz w:val="18"/>
                <w:szCs w:val="18"/>
                <w:highlight w:val="none"/>
              </w:rPr>
              <w:t>项目</w:t>
            </w:r>
          </w:p>
        </w:tc>
        <w:tc>
          <w:tcPr>
            <w:tcW w:w="756" w:type="dxa"/>
            <w:tcBorders>
              <w:bottom w:val="single" w:color="000000" w:sz="12" w:space="0"/>
            </w:tcBorders>
            <w:shd w:val="clear" w:color="auto" w:fill="FFFFFF"/>
            <w:noWrap w:val="0"/>
            <w:vAlign w:val="center"/>
          </w:tcPr>
          <w:p>
            <w:pPr>
              <w:jc w:val="center"/>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color w:val="auto"/>
                <w:sz w:val="18"/>
                <w:szCs w:val="18"/>
                <w:highlight w:val="none"/>
              </w:rPr>
              <w:t>时间</w:t>
            </w:r>
          </w:p>
        </w:tc>
        <w:tc>
          <w:tcPr>
            <w:tcW w:w="611" w:type="dxa"/>
            <w:tcBorders>
              <w:bottom w:val="single" w:color="000000" w:sz="12" w:space="0"/>
            </w:tcBorders>
            <w:shd w:val="clear" w:color="auto" w:fill="FFFFFF"/>
            <w:noWrap w:val="0"/>
            <w:vAlign w:val="center"/>
          </w:tcPr>
          <w:p>
            <w:pPr>
              <w:jc w:val="center"/>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color w:val="auto"/>
                <w:sz w:val="18"/>
                <w:szCs w:val="18"/>
                <w:highlight w:val="none"/>
              </w:rPr>
              <w:t>次数</w:t>
            </w:r>
          </w:p>
        </w:tc>
        <w:tc>
          <w:tcPr>
            <w:tcW w:w="4527" w:type="dxa"/>
            <w:tcBorders>
              <w:bottom w:val="single" w:color="000000" w:sz="12" w:space="0"/>
            </w:tcBorders>
            <w:shd w:val="clear" w:color="auto" w:fill="FFFFFF"/>
            <w:noWrap w:val="0"/>
            <w:vAlign w:val="center"/>
          </w:tcPr>
          <w:p>
            <w:pPr>
              <w:jc w:val="center"/>
              <w:rPr>
                <w:rFonts w:hint="eastAsia" w:ascii="宋体" w:hAnsi="宋体" w:eastAsia="宋体" w:cs="宋体"/>
                <w:b w:val="0"/>
                <w:bCs w:val="0"/>
                <w:color w:val="auto"/>
                <w:kern w:val="2"/>
                <w:sz w:val="18"/>
                <w:szCs w:val="18"/>
                <w:highlight w:val="none"/>
                <w:lang w:val="en-US" w:eastAsia="zh-CN" w:bidi="ar-SA"/>
              </w:rPr>
            </w:pPr>
            <w:r>
              <w:rPr>
                <w:rFonts w:hint="eastAsia" w:ascii="宋体" w:hAnsi="宋体" w:eastAsia="宋体" w:cs="宋体"/>
                <w:b w:val="0"/>
                <w:bCs w:val="0"/>
                <w:color w:val="auto"/>
                <w:sz w:val="18"/>
                <w:szCs w:val="18"/>
                <w:highlight w:val="none"/>
              </w:rPr>
              <w:t>维修养护内容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0" w:type="dxa"/>
            <w:gridSpan w:val="4"/>
            <w:tcBorders>
              <w:top w:val="single" w:color="000000" w:sz="12" w:space="0"/>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停车场管理系统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停车场</w:t>
            </w:r>
          </w:p>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管理系统用</w:t>
            </w:r>
          </w:p>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计算机</w:t>
            </w:r>
          </w:p>
        </w:tc>
        <w:tc>
          <w:tcPr>
            <w:tcW w:w="756" w:type="dxa"/>
            <w:tcBorders>
              <w:tl2br w:val="nil"/>
              <w:tr2bl w:val="nil"/>
            </w:tcBorders>
            <w:shd w:val="clear" w:color="auto" w:fill="FFFFFF"/>
            <w:noWrap w:val="0"/>
            <w:vAlign w:val="center"/>
          </w:tcPr>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每</w:t>
            </w:r>
            <w:r>
              <w:rPr>
                <w:rFonts w:hint="eastAsia" w:ascii="宋体" w:hAnsi="宋体" w:cs="宋体"/>
                <w:b w:val="0"/>
                <w:bCs w:val="0"/>
                <w:color w:val="auto"/>
                <w:sz w:val="18"/>
                <w:szCs w:val="18"/>
                <w:highlight w:val="none"/>
                <w:lang w:val="en-US" w:eastAsia="zh-CN"/>
              </w:rPr>
              <w:t>半年</w:t>
            </w:r>
          </w:p>
        </w:tc>
        <w:tc>
          <w:tcPr>
            <w:tcW w:w="611" w:type="dxa"/>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rPr>
              <w:t>1</w:t>
            </w:r>
          </w:p>
        </w:tc>
        <w:tc>
          <w:tcPr>
            <w:tcW w:w="4527" w:type="dxa"/>
            <w:tcBorders>
              <w:tl2br w:val="nil"/>
              <w:tr2bl w:val="nil"/>
            </w:tcBorders>
            <w:shd w:val="clear" w:color="auto" w:fill="FFFFFF"/>
            <w:noWrap w:val="0"/>
            <w:vAlign w:val="top"/>
          </w:tcPr>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1、主机、显示器及打印机清洁除尘。</w:t>
            </w:r>
          </w:p>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2、检测UPS工作情况是否正常。</w:t>
            </w:r>
          </w:p>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3、检测连接接口。</w:t>
            </w:r>
          </w:p>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4、内部数据整理和备份。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vMerge w:val="restart"/>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读卡器</w:t>
            </w:r>
          </w:p>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控制器</w:t>
            </w:r>
          </w:p>
        </w:tc>
        <w:tc>
          <w:tcPr>
            <w:tcW w:w="756" w:type="dxa"/>
            <w:tcBorders>
              <w:tl2br w:val="nil"/>
              <w:tr2bl w:val="nil"/>
            </w:tcBorders>
            <w:shd w:val="clear" w:color="auto" w:fill="FFFFFF"/>
            <w:noWrap w:val="0"/>
            <w:vAlign w:val="center"/>
          </w:tcPr>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每</w:t>
            </w:r>
            <w:r>
              <w:rPr>
                <w:rFonts w:hint="eastAsia" w:ascii="宋体" w:hAnsi="宋体" w:cs="宋体"/>
                <w:b w:val="0"/>
                <w:bCs w:val="0"/>
                <w:color w:val="auto"/>
                <w:sz w:val="18"/>
                <w:szCs w:val="18"/>
                <w:highlight w:val="none"/>
                <w:lang w:val="en-US" w:eastAsia="zh-CN"/>
              </w:rPr>
              <w:t>半年</w:t>
            </w:r>
          </w:p>
        </w:tc>
        <w:tc>
          <w:tcPr>
            <w:tcW w:w="611" w:type="dxa"/>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rPr>
              <w:t>1</w:t>
            </w:r>
          </w:p>
        </w:tc>
        <w:tc>
          <w:tcPr>
            <w:tcW w:w="4527" w:type="dxa"/>
            <w:tcBorders>
              <w:tl2br w:val="nil"/>
              <w:tr2bl w:val="nil"/>
            </w:tcBorders>
            <w:shd w:val="clear" w:color="auto" w:fill="FFFFFF"/>
            <w:noWrap w:val="0"/>
            <w:vAlign w:val="top"/>
          </w:tcPr>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1、清洁除尘。</w:t>
            </w:r>
          </w:p>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2、读卡器固定螺丝牢固状况。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vMerge w:val="continue"/>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p>
        </w:tc>
        <w:tc>
          <w:tcPr>
            <w:tcW w:w="756" w:type="dxa"/>
            <w:tcBorders>
              <w:tl2br w:val="nil"/>
              <w:tr2bl w:val="nil"/>
            </w:tcBorders>
            <w:shd w:val="clear" w:color="auto" w:fill="FFFFFF"/>
            <w:noWrap w:val="0"/>
            <w:vAlign w:val="center"/>
          </w:tcPr>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每半年</w:t>
            </w:r>
          </w:p>
        </w:tc>
        <w:tc>
          <w:tcPr>
            <w:tcW w:w="611" w:type="dxa"/>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rPr>
              <w:t>1</w:t>
            </w:r>
          </w:p>
        </w:tc>
        <w:tc>
          <w:tcPr>
            <w:tcW w:w="4527" w:type="dxa"/>
            <w:tcBorders>
              <w:tl2br w:val="nil"/>
              <w:tr2bl w:val="nil"/>
            </w:tcBorders>
            <w:shd w:val="clear" w:color="auto" w:fill="FFFFFF"/>
            <w:noWrap w:val="0"/>
            <w:vAlign w:val="top"/>
          </w:tcPr>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1、检测系统接口性能。</w:t>
            </w:r>
          </w:p>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2、检查电器元件工作情况。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地感装置</w:t>
            </w:r>
          </w:p>
        </w:tc>
        <w:tc>
          <w:tcPr>
            <w:tcW w:w="756" w:type="dxa"/>
            <w:tcBorders>
              <w:tl2br w:val="nil"/>
              <w:tr2bl w:val="nil"/>
            </w:tcBorders>
            <w:shd w:val="clear" w:color="auto" w:fill="FFFFFF"/>
            <w:noWrap w:val="0"/>
            <w:vAlign w:val="center"/>
          </w:tcPr>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每</w:t>
            </w:r>
            <w:r>
              <w:rPr>
                <w:rFonts w:hint="eastAsia" w:ascii="宋体" w:hAnsi="宋体" w:cs="宋体"/>
                <w:b w:val="0"/>
                <w:bCs w:val="0"/>
                <w:color w:val="auto"/>
                <w:sz w:val="18"/>
                <w:szCs w:val="18"/>
                <w:highlight w:val="none"/>
                <w:lang w:val="en-US" w:eastAsia="zh-CN"/>
              </w:rPr>
              <w:t>半年</w:t>
            </w:r>
          </w:p>
        </w:tc>
        <w:tc>
          <w:tcPr>
            <w:tcW w:w="611" w:type="dxa"/>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rPr>
              <w:t>1</w:t>
            </w:r>
          </w:p>
        </w:tc>
        <w:tc>
          <w:tcPr>
            <w:tcW w:w="4527" w:type="dxa"/>
            <w:tcBorders>
              <w:tl2br w:val="nil"/>
              <w:tr2bl w:val="nil"/>
            </w:tcBorders>
            <w:shd w:val="clear" w:color="auto" w:fill="FFFFFF"/>
            <w:noWrap w:val="0"/>
            <w:vAlign w:val="center"/>
          </w:tcPr>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测试地感装置的灵敏程度，根据测试结果调解灵活度。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0" w:type="dxa"/>
            <w:gridSpan w:val="4"/>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门禁管理系统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门禁管理系统用计算机</w:t>
            </w:r>
          </w:p>
        </w:tc>
        <w:tc>
          <w:tcPr>
            <w:tcW w:w="756" w:type="dxa"/>
            <w:tcBorders>
              <w:tl2br w:val="nil"/>
              <w:tr2bl w:val="nil"/>
            </w:tcBorders>
            <w:shd w:val="clear" w:color="auto" w:fill="FFFFFF"/>
            <w:noWrap w:val="0"/>
            <w:vAlign w:val="center"/>
          </w:tcPr>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每</w:t>
            </w:r>
            <w:r>
              <w:rPr>
                <w:rFonts w:hint="eastAsia" w:ascii="宋体" w:hAnsi="宋体" w:cs="宋体"/>
                <w:b w:val="0"/>
                <w:bCs w:val="0"/>
                <w:color w:val="auto"/>
                <w:sz w:val="18"/>
                <w:szCs w:val="18"/>
                <w:highlight w:val="none"/>
                <w:lang w:val="en-US" w:eastAsia="zh-CN"/>
              </w:rPr>
              <w:t>半年</w:t>
            </w:r>
          </w:p>
        </w:tc>
        <w:tc>
          <w:tcPr>
            <w:tcW w:w="611" w:type="dxa"/>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rPr>
              <w:t>1</w:t>
            </w:r>
          </w:p>
        </w:tc>
        <w:tc>
          <w:tcPr>
            <w:tcW w:w="4527" w:type="dxa"/>
            <w:tcBorders>
              <w:tl2br w:val="nil"/>
              <w:tr2bl w:val="nil"/>
            </w:tcBorders>
            <w:shd w:val="clear" w:color="auto" w:fill="FFFFFF"/>
            <w:noWrap w:val="0"/>
            <w:vAlign w:val="top"/>
          </w:tcPr>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1、主机、显示器及打印机清洁除尘。</w:t>
            </w:r>
          </w:p>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2、检测UPS工作情况是否正常。</w:t>
            </w:r>
          </w:p>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3、检测连接接口。</w:t>
            </w:r>
          </w:p>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4、内部数据整理和备份。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读卡器</w:t>
            </w:r>
          </w:p>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控制器</w:t>
            </w:r>
          </w:p>
        </w:tc>
        <w:tc>
          <w:tcPr>
            <w:tcW w:w="756" w:type="dxa"/>
            <w:tcBorders>
              <w:tl2br w:val="nil"/>
              <w:tr2bl w:val="nil"/>
            </w:tcBorders>
            <w:shd w:val="clear" w:color="auto" w:fill="FFFFFF"/>
            <w:noWrap w:val="0"/>
            <w:vAlign w:val="center"/>
          </w:tcPr>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每</w:t>
            </w:r>
            <w:r>
              <w:rPr>
                <w:rFonts w:hint="eastAsia" w:ascii="宋体" w:hAnsi="宋体" w:cs="宋体"/>
                <w:b w:val="0"/>
                <w:bCs w:val="0"/>
                <w:color w:val="auto"/>
                <w:sz w:val="18"/>
                <w:szCs w:val="18"/>
                <w:highlight w:val="none"/>
                <w:lang w:val="en-US" w:eastAsia="zh-CN"/>
              </w:rPr>
              <w:t>半年</w:t>
            </w:r>
          </w:p>
        </w:tc>
        <w:tc>
          <w:tcPr>
            <w:tcW w:w="611" w:type="dxa"/>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rPr>
              <w:t>1</w:t>
            </w:r>
          </w:p>
        </w:tc>
        <w:tc>
          <w:tcPr>
            <w:tcW w:w="4527" w:type="dxa"/>
            <w:tcBorders>
              <w:tl2br w:val="nil"/>
              <w:tr2bl w:val="nil"/>
            </w:tcBorders>
            <w:shd w:val="clear" w:color="auto" w:fill="FFFFFF"/>
            <w:noWrap w:val="0"/>
            <w:vAlign w:val="top"/>
          </w:tcPr>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1、清洁除尘。</w:t>
            </w:r>
          </w:p>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2、读卡器固定螺丝牢固状况。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0" w:type="dxa"/>
            <w:gridSpan w:val="4"/>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多媒体会议系统及其它系统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控制主机</w:t>
            </w:r>
          </w:p>
        </w:tc>
        <w:tc>
          <w:tcPr>
            <w:tcW w:w="756" w:type="dxa"/>
            <w:tcBorders>
              <w:tl2br w:val="nil"/>
              <w:tr2bl w:val="nil"/>
            </w:tcBorders>
            <w:shd w:val="clear" w:color="auto" w:fill="FFFFFF"/>
            <w:noWrap w:val="0"/>
            <w:vAlign w:val="center"/>
          </w:tcPr>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每月</w:t>
            </w:r>
          </w:p>
        </w:tc>
        <w:tc>
          <w:tcPr>
            <w:tcW w:w="611" w:type="dxa"/>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rPr>
              <w:t>1</w:t>
            </w:r>
          </w:p>
        </w:tc>
        <w:tc>
          <w:tcPr>
            <w:tcW w:w="4527" w:type="dxa"/>
            <w:tcBorders>
              <w:tl2br w:val="nil"/>
              <w:tr2bl w:val="nil"/>
            </w:tcBorders>
            <w:shd w:val="clear" w:color="auto" w:fill="FFFFFF"/>
            <w:noWrap w:val="0"/>
            <w:vAlign w:val="top"/>
          </w:tcPr>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1、主机、显示器及打印机清洁除尘。</w:t>
            </w:r>
          </w:p>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2、检测UPS工作情况是否正常。</w:t>
            </w:r>
          </w:p>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3、检测连接接口。</w:t>
            </w:r>
          </w:p>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4、内部数据整理和备份。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音箱、投影、报警前端设备</w:t>
            </w:r>
          </w:p>
        </w:tc>
        <w:tc>
          <w:tcPr>
            <w:tcW w:w="756" w:type="dxa"/>
            <w:tcBorders>
              <w:tl2br w:val="nil"/>
              <w:tr2bl w:val="nil"/>
            </w:tcBorders>
            <w:shd w:val="clear" w:color="auto" w:fill="FFFFFF"/>
            <w:noWrap w:val="0"/>
            <w:vAlign w:val="center"/>
          </w:tcPr>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每周</w:t>
            </w:r>
          </w:p>
        </w:tc>
        <w:tc>
          <w:tcPr>
            <w:tcW w:w="611" w:type="dxa"/>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rPr>
              <w:t>1</w:t>
            </w:r>
          </w:p>
        </w:tc>
        <w:tc>
          <w:tcPr>
            <w:tcW w:w="4527" w:type="dxa"/>
            <w:tcBorders>
              <w:tl2br w:val="nil"/>
              <w:tr2bl w:val="nil"/>
            </w:tcBorders>
            <w:shd w:val="clear" w:color="auto" w:fill="FFFFFF"/>
            <w:noWrap w:val="0"/>
            <w:vAlign w:val="top"/>
          </w:tcPr>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1、清洁除尘。</w:t>
            </w:r>
          </w:p>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2、音箱、投影、报警前端设备固定螺丝牢固状况。</w:t>
            </w:r>
          </w:p>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3、音箱、投影、报警前端设备测试和运行。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终端设备</w:t>
            </w:r>
          </w:p>
        </w:tc>
        <w:tc>
          <w:tcPr>
            <w:tcW w:w="756" w:type="dxa"/>
            <w:tcBorders>
              <w:tl2br w:val="nil"/>
              <w:tr2bl w:val="nil"/>
            </w:tcBorders>
            <w:shd w:val="clear" w:color="auto" w:fill="FFFFFF"/>
            <w:noWrap w:val="0"/>
            <w:vAlign w:val="center"/>
          </w:tcPr>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每季</w:t>
            </w:r>
          </w:p>
        </w:tc>
        <w:tc>
          <w:tcPr>
            <w:tcW w:w="611" w:type="dxa"/>
            <w:tcBorders>
              <w:tl2br w:val="nil"/>
              <w:tr2bl w:val="nil"/>
            </w:tcBorders>
            <w:shd w:val="clear" w:color="auto" w:fill="FFFFFF"/>
            <w:noWrap w:val="0"/>
            <w:vAlign w:val="center"/>
          </w:tcPr>
          <w:p>
            <w:pPr>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w:t>
            </w:r>
            <w:r>
              <w:rPr>
                <w:rFonts w:hint="eastAsia" w:ascii="宋体" w:hAnsi="宋体" w:eastAsia="宋体" w:cs="宋体"/>
                <w:b w:val="0"/>
                <w:bCs w:val="0"/>
                <w:color w:val="auto"/>
                <w:sz w:val="18"/>
                <w:szCs w:val="18"/>
                <w:highlight w:val="none"/>
              </w:rPr>
              <w:t>1</w:t>
            </w:r>
          </w:p>
        </w:tc>
        <w:tc>
          <w:tcPr>
            <w:tcW w:w="4527" w:type="dxa"/>
            <w:tcBorders>
              <w:tl2br w:val="nil"/>
              <w:tr2bl w:val="nil"/>
            </w:tcBorders>
            <w:shd w:val="clear" w:color="auto" w:fill="FFFFFF"/>
            <w:noWrap w:val="0"/>
            <w:vAlign w:val="top"/>
          </w:tcPr>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1、检测系统接口性能。</w:t>
            </w:r>
          </w:p>
          <w:p>
            <w:pP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2、检查电器元件工作情况。</w:t>
            </w:r>
          </w:p>
        </w:tc>
      </w:tr>
    </w:tbl>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before="850"/>
        <w:jc w:val="center"/>
        <w:textAlignment w:val="auto"/>
        <w:rPr>
          <w:rFonts w:hint="eastAsia" w:ascii="黑体" w:hAnsi="黑体" w:eastAsia="黑体" w:cs="黑体"/>
          <w:color w:val="auto"/>
          <w:highlight w:val="none"/>
        </w:rPr>
      </w:pPr>
    </w:p>
    <w:p>
      <w:pPr>
        <w:keepNext w:val="0"/>
        <w:keepLines w:val="0"/>
        <w:pageBreakBefore w:val="0"/>
        <w:widowControl w:val="0"/>
        <w:kinsoku/>
        <w:wordWrap/>
        <w:overflowPunct/>
        <w:topLinePunct w:val="0"/>
        <w:autoSpaceDE/>
        <w:autoSpaceDN/>
        <w:bidi w:val="0"/>
        <w:adjustRightInd/>
        <w:snapToGrid/>
        <w:spacing w:before="850"/>
        <w:jc w:val="both"/>
        <w:textAlignment w:val="auto"/>
        <w:rPr>
          <w:rFonts w:hint="eastAsia" w:ascii="黑体" w:hAnsi="黑体" w:eastAsia="黑体" w:cs="黑体"/>
          <w:color w:val="auto"/>
          <w:highlight w:val="none"/>
        </w:rPr>
      </w:pPr>
    </w:p>
    <w:p>
      <w:pPr>
        <w:spacing w:after="312" w:afterLines="100"/>
        <w:jc w:val="center"/>
        <w:outlineLvl w:val="0"/>
        <w:rPr>
          <w:rFonts w:hint="default" w:ascii="Times New Roman" w:hAnsi="Times New Roman" w:eastAsia="宋体" w:cs="Times New Roman"/>
          <w:sz w:val="36"/>
          <w:szCs w:val="36"/>
          <w:highlight w:val="none"/>
          <w:lang w:val="en-US" w:eastAsia="zh-CN"/>
        </w:rPr>
      </w:pPr>
      <w:bookmarkStart w:id="383" w:name="_Toc8405"/>
      <w:r>
        <w:rPr>
          <w:rFonts w:hint="eastAsia" w:ascii="Times New Roman" w:hAnsi="Times New Roman" w:eastAsia="宋体" w:cs="Times New Roman"/>
          <w:sz w:val="36"/>
          <w:szCs w:val="36"/>
          <w:highlight w:val="none"/>
        </w:rPr>
        <w:t>附录</w:t>
      </w:r>
      <w:r>
        <w:rPr>
          <w:rFonts w:hint="eastAsia" w:ascii="Times New Roman" w:hAnsi="Times New Roman" w:eastAsia="宋体" w:cs="Times New Roman"/>
          <w:sz w:val="36"/>
          <w:szCs w:val="36"/>
          <w:highlight w:val="none"/>
          <w:lang w:val="en-US" w:eastAsia="zh-CN"/>
        </w:rPr>
        <w:t xml:space="preserve">D  </w:t>
      </w:r>
      <w:r>
        <w:rPr>
          <w:rFonts w:hint="eastAsia" w:ascii="Times New Roman" w:hAnsi="Times New Roman" w:eastAsia="宋体" w:cs="Times New Roman"/>
          <w:sz w:val="36"/>
          <w:szCs w:val="36"/>
          <w:highlight w:val="none"/>
          <w:lang w:val="zh-CN" w:eastAsia="zh-CN"/>
        </w:rPr>
        <w:t>重要部位（区域）</w:t>
      </w:r>
      <w:r>
        <w:rPr>
          <w:rFonts w:hint="eastAsia" w:ascii="Times New Roman" w:hAnsi="Times New Roman" w:eastAsia="宋体" w:cs="Times New Roman"/>
          <w:sz w:val="36"/>
          <w:szCs w:val="36"/>
          <w:highlight w:val="none"/>
          <w:lang w:val="en-US" w:eastAsia="zh-CN"/>
        </w:rPr>
        <w:t>人防配置表</w:t>
      </w:r>
      <w:bookmarkEnd w:id="383"/>
    </w:p>
    <w:p>
      <w:pPr>
        <w:pStyle w:val="59"/>
        <w:tabs>
          <w:tab w:val="center" w:pos="4201"/>
          <w:tab w:val="right" w:leader="dot" w:pos="9298"/>
        </w:tabs>
        <w:ind w:left="0" w:leftChars="0" w:firstLine="0" w:firstLineChars="0"/>
        <w:jc w:val="both"/>
        <w:rPr>
          <w:rFonts w:hint="eastAsia" w:ascii="宋体" w:hAnsi="宋体" w:eastAsia="宋体" w:cs="宋体"/>
          <w:color w:val="auto"/>
          <w:sz w:val="21"/>
          <w:highlight w:val="none"/>
          <w:lang w:val="zh-CN" w:eastAsia="zh-CN" w:bidi="ar-SA"/>
        </w:rPr>
      </w:pPr>
    </w:p>
    <w:p>
      <w:pPr>
        <w:pStyle w:val="59"/>
        <w:tabs>
          <w:tab w:val="center" w:pos="4201"/>
          <w:tab w:val="right" w:leader="dot" w:pos="9298"/>
        </w:tabs>
        <w:ind w:left="0" w:leftChars="0" w:firstLine="0" w:firstLineChars="0"/>
        <w:jc w:val="both"/>
        <w:rPr>
          <w:rFonts w:hint="eastAsia" w:ascii="宋体" w:hAnsi="宋体" w:eastAsia="宋体" w:cs="宋体"/>
          <w:color w:val="auto"/>
          <w:sz w:val="21"/>
          <w:highlight w:val="none"/>
          <w:lang w:val="zh-CN" w:eastAsia="zh-CN" w:bidi="ar-SA"/>
        </w:rPr>
      </w:pPr>
    </w:p>
    <w:p>
      <w:pPr>
        <w:pStyle w:val="59"/>
        <w:tabs>
          <w:tab w:val="center" w:pos="4201"/>
          <w:tab w:val="right" w:leader="dot" w:pos="9298"/>
        </w:tabs>
        <w:ind w:left="0" w:leftChars="0" w:firstLine="0" w:firstLineChars="0"/>
        <w:jc w:val="both"/>
        <w:rPr>
          <w:rFonts w:hint="eastAsia" w:hAnsi="宋体" w:eastAsia="宋体" w:cs="宋体"/>
          <w:color w:val="auto"/>
          <w:sz w:val="21"/>
          <w:highlight w:val="none"/>
          <w:lang w:val="en-US" w:eastAsia="zh-CN" w:bidi="ar-SA"/>
        </w:rPr>
      </w:pPr>
      <w:r>
        <w:rPr>
          <w:rFonts w:hint="eastAsia" w:ascii="宋体" w:hAnsi="宋体" w:eastAsia="宋体" w:cs="宋体"/>
          <w:color w:val="auto"/>
          <w:sz w:val="21"/>
          <w:highlight w:val="none"/>
          <w:lang w:val="zh-CN" w:eastAsia="zh-CN" w:bidi="ar-SA"/>
        </w:rPr>
        <w:t>重要部位（区域）</w:t>
      </w:r>
      <w:r>
        <w:rPr>
          <w:rFonts w:hint="eastAsia" w:ascii="宋体" w:hAnsi="宋体" w:eastAsia="宋体" w:cs="宋体"/>
          <w:color w:val="auto"/>
          <w:sz w:val="21"/>
          <w:highlight w:val="none"/>
          <w:lang w:val="en-US" w:eastAsia="zh-CN" w:bidi="ar-SA"/>
        </w:rPr>
        <w:t>人防配置</w:t>
      </w:r>
      <w:r>
        <w:rPr>
          <w:rFonts w:hint="eastAsia" w:hAnsi="宋体" w:eastAsia="宋体" w:cs="宋体"/>
          <w:color w:val="auto"/>
          <w:sz w:val="21"/>
          <w:highlight w:val="none"/>
          <w:lang w:val="en-US" w:eastAsia="zh-CN" w:bidi="ar-SA"/>
        </w:rPr>
        <w:t>见表D.1。</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hAnsi="宋体" w:eastAsia="宋体" w:cs="宋体"/>
          <w:color w:val="auto"/>
          <w:sz w:val="21"/>
          <w:highlight w:val="none"/>
          <w:lang w:val="en-US" w:eastAsia="zh-CN" w:bidi="ar-SA"/>
        </w:rPr>
      </w:pPr>
      <w:r>
        <w:rPr>
          <w:rFonts w:hint="eastAsia" w:ascii="黑体" w:hAnsi="黑体" w:eastAsia="黑体" w:cs="黑体"/>
          <w:color w:val="auto"/>
          <w:sz w:val="21"/>
          <w:highlight w:val="none"/>
          <w:lang w:val="en-US" w:eastAsia="zh-CN" w:bidi="ar-SA"/>
        </w:rPr>
        <w:t>表D.1</w:t>
      </w:r>
      <w:r>
        <w:rPr>
          <w:rFonts w:hint="eastAsia" w:hAnsi="宋体" w:eastAsia="宋体" w:cs="宋体"/>
          <w:color w:val="auto"/>
          <w:sz w:val="21"/>
          <w:highlight w:val="none"/>
          <w:lang w:val="en-US" w:eastAsia="zh-CN" w:bidi="ar-SA"/>
        </w:rPr>
        <w:t xml:space="preserve">  </w:t>
      </w:r>
      <w:r>
        <w:rPr>
          <w:rFonts w:hint="eastAsia" w:ascii="黑体" w:hAnsi="黑体" w:eastAsia="黑体" w:cs="黑体"/>
          <w:color w:val="auto"/>
          <w:sz w:val="21"/>
          <w:highlight w:val="none"/>
          <w:lang w:val="zh-CN" w:eastAsia="zh-CN" w:bidi="ar-SA"/>
        </w:rPr>
        <w:t>重要部位（区域）</w:t>
      </w:r>
      <w:r>
        <w:rPr>
          <w:rFonts w:hint="eastAsia" w:ascii="黑体" w:hAnsi="黑体" w:eastAsia="黑体" w:cs="黑体"/>
          <w:color w:val="auto"/>
          <w:sz w:val="21"/>
          <w:highlight w:val="none"/>
          <w:lang w:val="en-US" w:eastAsia="zh-CN" w:bidi="ar-SA"/>
        </w:rPr>
        <w:t>人防配置表</w:t>
      </w:r>
    </w:p>
    <w:tbl>
      <w:tblPr>
        <w:tblStyle w:val="38"/>
        <w:tblW w:w="430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395"/>
        <w:gridCol w:w="1296"/>
        <w:gridCol w:w="2045"/>
        <w:gridCol w:w="18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38" w:type="dxa"/>
            <w:tcBorders>
              <w:bottom w:val="single" w:color="000000" w:sz="12"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2395" w:type="dxa"/>
            <w:tcBorders>
              <w:bottom w:val="single" w:color="000000" w:sz="12"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服务区域（岗位）</w:t>
            </w:r>
          </w:p>
        </w:tc>
        <w:tc>
          <w:tcPr>
            <w:tcW w:w="1296" w:type="dxa"/>
            <w:tcBorders>
              <w:bottom w:val="single" w:color="000000" w:sz="12"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配置要求</w:t>
            </w:r>
          </w:p>
        </w:tc>
        <w:tc>
          <w:tcPr>
            <w:tcW w:w="2045" w:type="dxa"/>
            <w:tcBorders>
              <w:bottom w:val="single" w:color="000000" w:sz="12"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重点目标安保力量配置标准</w:t>
            </w:r>
          </w:p>
        </w:tc>
        <w:tc>
          <w:tcPr>
            <w:tcW w:w="1869" w:type="dxa"/>
            <w:tcBorders>
              <w:bottom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非重点目标安保力量配置标准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38" w:type="dxa"/>
            <w:tcBorders>
              <w:top w:val="single" w:color="000000" w:sz="12"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395" w:type="dxa"/>
            <w:tcBorders>
              <w:top w:val="single" w:color="000000" w:sz="12"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门岗（执勤哨位）</w:t>
            </w:r>
          </w:p>
        </w:tc>
        <w:tc>
          <w:tcPr>
            <w:tcW w:w="1296" w:type="dxa"/>
            <w:tcBorders>
              <w:top w:val="single" w:color="000000" w:sz="12"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24小时执勤</w:t>
            </w:r>
          </w:p>
        </w:tc>
        <w:tc>
          <w:tcPr>
            <w:tcW w:w="2045" w:type="dxa"/>
            <w:tcBorders>
              <w:top w:val="single" w:color="000000" w:sz="12"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每岗≥2人</w:t>
            </w:r>
          </w:p>
        </w:tc>
        <w:tc>
          <w:tcPr>
            <w:tcW w:w="1869" w:type="dxa"/>
            <w:tcBorders>
              <w:top w:val="single" w:color="000000" w:sz="12"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每岗≥</w:t>
            </w: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3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安防（含消防）监控中心（室）</w:t>
            </w:r>
          </w:p>
        </w:tc>
        <w:tc>
          <w:tcPr>
            <w:tcW w:w="129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24小时监控</w:t>
            </w:r>
          </w:p>
        </w:tc>
        <w:tc>
          <w:tcPr>
            <w:tcW w:w="20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每班次≥2人；消防监控中心持证上岗≥1人/班</w:t>
            </w:r>
          </w:p>
        </w:tc>
        <w:tc>
          <w:tcPr>
            <w:tcW w:w="186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每班次≥</w:t>
            </w: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63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行政办公区域出入口，财务室、档案室、保密室；各类控制室、机房</w:t>
            </w:r>
          </w:p>
        </w:tc>
        <w:tc>
          <w:tcPr>
            <w:tcW w:w="129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巡逻周期间隔</w:t>
            </w:r>
          </w:p>
        </w:tc>
        <w:tc>
          <w:tcPr>
            <w:tcW w:w="20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次/天</w:t>
            </w:r>
          </w:p>
        </w:tc>
        <w:tc>
          <w:tcPr>
            <w:tcW w:w="18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63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项目所在周界、出入口、危险化学品存放处、重要物品存放处及重要部位巡逻</w:t>
            </w:r>
          </w:p>
        </w:tc>
        <w:tc>
          <w:tcPr>
            <w:tcW w:w="129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巡逻周期间隔</w:t>
            </w:r>
          </w:p>
        </w:tc>
        <w:tc>
          <w:tcPr>
            <w:tcW w:w="20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≥2人/班，≥</w:t>
            </w:r>
            <w:r>
              <w:rPr>
                <w:rFonts w:hint="eastAsia" w:ascii="宋体" w:hAnsi="宋体" w:cs="宋体"/>
                <w:i w:val="0"/>
                <w:iCs w:val="0"/>
                <w:color w:val="auto"/>
                <w:kern w:val="0"/>
                <w:sz w:val="18"/>
                <w:szCs w:val="18"/>
                <w:highlight w:val="none"/>
                <w:u w:val="none"/>
                <w:lang w:val="en-US" w:eastAsia="zh-CN" w:bidi="ar"/>
              </w:rPr>
              <w:t>6</w:t>
            </w:r>
            <w:r>
              <w:rPr>
                <w:rFonts w:hint="eastAsia" w:ascii="宋体" w:hAnsi="宋体" w:eastAsia="宋体" w:cs="宋体"/>
                <w:i w:val="0"/>
                <w:iCs w:val="0"/>
                <w:color w:val="auto"/>
                <w:kern w:val="0"/>
                <w:sz w:val="18"/>
                <w:szCs w:val="18"/>
                <w:highlight w:val="none"/>
                <w:u w:val="none"/>
                <w:lang w:val="en-US" w:eastAsia="zh-CN" w:bidi="ar"/>
              </w:rPr>
              <w:t>小时/班</w:t>
            </w:r>
          </w:p>
        </w:tc>
        <w:tc>
          <w:tcPr>
            <w:tcW w:w="186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每班次≥1人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38" w:type="dxa"/>
            <w:tcBorders>
              <w:bottom w:val="single" w:color="000000" w:sz="12"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395" w:type="dxa"/>
            <w:tcBorders>
              <w:bottom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其他自行确定的重要部位（区域)</w:t>
            </w:r>
          </w:p>
        </w:tc>
        <w:tc>
          <w:tcPr>
            <w:tcW w:w="1296" w:type="dxa"/>
            <w:tcBorders>
              <w:bottom w:val="single" w:color="000000" w:sz="12"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巡逻周期间隔</w:t>
            </w:r>
          </w:p>
        </w:tc>
        <w:tc>
          <w:tcPr>
            <w:tcW w:w="2045" w:type="dxa"/>
            <w:tcBorders>
              <w:bottom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次/天</w:t>
            </w:r>
          </w:p>
        </w:tc>
        <w:tc>
          <w:tcPr>
            <w:tcW w:w="1869" w:type="dxa"/>
            <w:tcBorders>
              <w:bottom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43" w:type="dxa"/>
            <w:gridSpan w:val="5"/>
            <w:tcBorders>
              <w:top w:val="single" w:color="000000" w:sz="12" w:space="0"/>
              <w:tl2br w:val="nil"/>
              <w:tr2bl w:val="nil"/>
            </w:tcBorders>
            <w:noWrap/>
            <w:vAlign w:val="center"/>
          </w:tcPr>
          <w:p>
            <w:pPr>
              <w:keepNext w:val="0"/>
              <w:keepLines w:val="0"/>
              <w:widowControl/>
              <w:suppressLineNumbers w:val="0"/>
              <w:ind w:firstLine="360" w:firstLineChars="200"/>
              <w:jc w:val="left"/>
              <w:textAlignment w:val="center"/>
              <w:rPr>
                <w:rFonts w:hint="eastAsia" w:ascii="宋体" w:hAnsi="宋体" w:eastAsia="宋体" w:cs="宋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注：</w:t>
            </w:r>
            <w:r>
              <w:rPr>
                <w:rFonts w:hint="eastAsia" w:ascii="宋体" w:hAnsi="宋体" w:eastAsia="宋体" w:cs="宋体"/>
                <w:i w:val="0"/>
                <w:iCs w:val="0"/>
                <w:color w:val="auto"/>
                <w:kern w:val="0"/>
                <w:sz w:val="18"/>
                <w:szCs w:val="18"/>
                <w:highlight w:val="none"/>
                <w:u w:val="none"/>
                <w:lang w:val="en-US" w:eastAsia="zh-CN" w:bidi="ar"/>
              </w:rPr>
              <w:t>合署的场所人防按照“就高不就低”原则配置。</w:t>
            </w:r>
          </w:p>
        </w:tc>
      </w:tr>
    </w:tbl>
    <w:p>
      <w:pPr>
        <w:rPr>
          <w:rFonts w:hint="eastAsia" w:ascii="黑体" w:hAnsi="黑体" w:eastAsia="黑体" w:cs="黑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850"/>
        <w:jc w:val="center"/>
        <w:textAlignment w:val="auto"/>
        <w:rPr>
          <w:rFonts w:hint="eastAsia" w:ascii="黑体" w:hAnsi="黑体" w:eastAsia="黑体" w:cs="黑体"/>
          <w:color w:val="auto"/>
          <w:highlight w:val="none"/>
        </w:rPr>
      </w:pPr>
    </w:p>
    <w:p>
      <w:pPr>
        <w:keepNext w:val="0"/>
        <w:keepLines w:val="0"/>
        <w:pageBreakBefore w:val="0"/>
        <w:widowControl w:val="0"/>
        <w:kinsoku/>
        <w:wordWrap/>
        <w:overflowPunct/>
        <w:topLinePunct w:val="0"/>
        <w:autoSpaceDE/>
        <w:autoSpaceDN/>
        <w:bidi w:val="0"/>
        <w:adjustRightInd/>
        <w:snapToGrid/>
        <w:spacing w:before="850"/>
        <w:jc w:val="center"/>
        <w:textAlignment w:val="auto"/>
        <w:rPr>
          <w:rFonts w:hint="eastAsia" w:ascii="黑体" w:hAnsi="黑体" w:eastAsia="黑体" w:cs="黑体"/>
          <w:color w:val="auto"/>
          <w:highlight w:val="none"/>
        </w:rPr>
      </w:pPr>
    </w:p>
    <w:p>
      <w:pPr>
        <w:keepNext w:val="0"/>
        <w:keepLines w:val="0"/>
        <w:pageBreakBefore w:val="0"/>
        <w:widowControl w:val="0"/>
        <w:kinsoku/>
        <w:wordWrap/>
        <w:overflowPunct/>
        <w:topLinePunct w:val="0"/>
        <w:autoSpaceDE/>
        <w:autoSpaceDN/>
        <w:bidi w:val="0"/>
        <w:adjustRightInd/>
        <w:snapToGrid/>
        <w:spacing w:before="850"/>
        <w:jc w:val="center"/>
        <w:textAlignment w:val="auto"/>
        <w:rPr>
          <w:rFonts w:hint="eastAsia" w:ascii="黑体" w:hAnsi="黑体" w:eastAsia="黑体" w:cs="黑体"/>
          <w:color w:val="auto"/>
          <w:highlight w:val="none"/>
        </w:rPr>
      </w:pPr>
    </w:p>
    <w:p>
      <w:pPr>
        <w:keepNext w:val="0"/>
        <w:keepLines w:val="0"/>
        <w:pageBreakBefore w:val="0"/>
        <w:widowControl w:val="0"/>
        <w:kinsoku/>
        <w:wordWrap/>
        <w:overflowPunct/>
        <w:topLinePunct w:val="0"/>
        <w:autoSpaceDE/>
        <w:autoSpaceDN/>
        <w:bidi w:val="0"/>
        <w:adjustRightInd/>
        <w:snapToGrid/>
        <w:spacing w:before="850"/>
        <w:jc w:val="center"/>
        <w:textAlignment w:val="auto"/>
        <w:rPr>
          <w:rFonts w:hint="eastAsia" w:ascii="黑体" w:hAnsi="黑体" w:eastAsia="黑体" w:cs="黑体"/>
          <w:color w:val="auto"/>
          <w:highlight w:val="none"/>
        </w:rPr>
      </w:pPr>
    </w:p>
    <w:p>
      <w:pPr>
        <w:spacing w:after="312" w:afterLines="100"/>
        <w:jc w:val="center"/>
        <w:outlineLvl w:val="0"/>
        <w:rPr>
          <w:rFonts w:hint="default" w:ascii="Times New Roman" w:hAnsi="Times New Roman" w:eastAsia="宋体" w:cs="Times New Roman"/>
          <w:sz w:val="36"/>
          <w:szCs w:val="36"/>
          <w:highlight w:val="none"/>
          <w:lang w:val="en-US" w:eastAsia="zh-CN"/>
        </w:rPr>
      </w:pPr>
      <w:bookmarkStart w:id="384" w:name="_Toc8138"/>
      <w:r>
        <w:rPr>
          <w:rFonts w:hint="eastAsia" w:ascii="Times New Roman" w:hAnsi="Times New Roman" w:eastAsia="宋体" w:cs="Times New Roman"/>
          <w:sz w:val="36"/>
          <w:szCs w:val="36"/>
          <w:highlight w:val="none"/>
        </w:rPr>
        <w:t>附录</w:t>
      </w:r>
      <w:r>
        <w:rPr>
          <w:rFonts w:hint="eastAsia" w:ascii="Times New Roman" w:hAnsi="Times New Roman" w:eastAsia="宋体" w:cs="Times New Roman"/>
          <w:sz w:val="36"/>
          <w:szCs w:val="36"/>
          <w:highlight w:val="none"/>
          <w:lang w:val="en-US" w:eastAsia="zh-CN"/>
        </w:rPr>
        <w:t xml:space="preserve">E  </w:t>
      </w:r>
      <w:r>
        <w:rPr>
          <w:rFonts w:hint="eastAsia" w:ascii="Times New Roman" w:hAnsi="Times New Roman" w:eastAsia="宋体" w:cs="Times New Roman"/>
          <w:sz w:val="36"/>
          <w:szCs w:val="36"/>
          <w:highlight w:val="none"/>
          <w:lang w:val="zh-CN" w:eastAsia="zh-CN"/>
        </w:rPr>
        <w:t>重要部位</w:t>
      </w:r>
      <w:r>
        <w:rPr>
          <w:rFonts w:hint="default" w:ascii="Times New Roman" w:hAnsi="Times New Roman" w:eastAsia="宋体" w:cs="Times New Roman"/>
          <w:sz w:val="36"/>
          <w:szCs w:val="36"/>
          <w:highlight w:val="none"/>
          <w:lang w:val="zh-CN" w:eastAsia="zh-CN"/>
        </w:rPr>
        <w:t>分类</w:t>
      </w:r>
      <w:r>
        <w:rPr>
          <w:rFonts w:hint="eastAsia" w:ascii="Times New Roman" w:hAnsi="Times New Roman" w:eastAsia="宋体" w:cs="Times New Roman"/>
          <w:sz w:val="36"/>
          <w:szCs w:val="36"/>
          <w:highlight w:val="none"/>
          <w:lang w:val="en-US" w:eastAsia="zh-CN"/>
        </w:rPr>
        <w:t>表</w:t>
      </w:r>
      <w:bookmarkEnd w:id="384"/>
    </w:p>
    <w:p>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jc w:val="both"/>
        <w:textAlignment w:val="auto"/>
        <w:rPr>
          <w:rFonts w:hint="eastAsia" w:ascii="宋体" w:hAnsi="宋体" w:eastAsia="宋体" w:cs="宋体"/>
          <w:color w:val="auto"/>
          <w:sz w:val="21"/>
          <w:highlight w:val="none"/>
          <w:lang w:val="zh-CN" w:eastAsia="zh-CN" w:bidi="ar-SA"/>
        </w:rPr>
      </w:pPr>
    </w:p>
    <w:p>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jc w:val="both"/>
        <w:textAlignment w:val="auto"/>
        <w:rPr>
          <w:rFonts w:hint="eastAsia" w:ascii="宋体" w:hAnsi="宋体" w:eastAsia="宋体" w:cs="宋体"/>
          <w:color w:val="auto"/>
          <w:sz w:val="21"/>
          <w:highlight w:val="none"/>
          <w:lang w:val="zh-CN" w:eastAsia="zh-CN" w:bidi="ar-SA"/>
        </w:rPr>
      </w:pPr>
    </w:p>
    <w:p>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jc w:val="both"/>
        <w:textAlignment w:val="auto"/>
        <w:rPr>
          <w:rFonts w:hint="eastAsia" w:hAnsi="宋体" w:eastAsia="宋体" w:cs="宋体"/>
          <w:color w:val="auto"/>
          <w:sz w:val="21"/>
          <w:highlight w:val="none"/>
          <w:lang w:val="en-US" w:eastAsia="zh-CN" w:bidi="ar-SA"/>
        </w:rPr>
      </w:pPr>
      <w:r>
        <w:rPr>
          <w:rFonts w:hint="eastAsia" w:ascii="宋体" w:hAnsi="宋体" w:eastAsia="宋体" w:cs="宋体"/>
          <w:color w:val="auto"/>
          <w:sz w:val="21"/>
          <w:highlight w:val="none"/>
          <w:lang w:val="zh-CN" w:eastAsia="zh-CN" w:bidi="ar-SA"/>
        </w:rPr>
        <w:t>重要部位分类</w:t>
      </w:r>
      <w:r>
        <w:rPr>
          <w:rFonts w:hint="eastAsia" w:hAnsi="宋体" w:eastAsia="宋体" w:cs="宋体"/>
          <w:color w:val="auto"/>
          <w:sz w:val="21"/>
          <w:highlight w:val="none"/>
          <w:lang w:val="en-US" w:eastAsia="zh-CN" w:bidi="ar-SA"/>
        </w:rPr>
        <w:t>表见表E.1。</w:t>
      </w:r>
    </w:p>
    <w:p>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after="157" w:afterLines="50"/>
        <w:jc w:val="center"/>
        <w:textAlignment w:val="auto"/>
        <w:rPr>
          <w:rFonts w:hint="eastAsia" w:ascii="黑体" w:hAnsi="黑体" w:eastAsia="黑体" w:cs="黑体"/>
          <w:color w:val="auto"/>
          <w:sz w:val="21"/>
          <w:highlight w:val="none"/>
          <w:lang w:val="en-US" w:eastAsia="zh-CN" w:bidi="ar-SA"/>
        </w:rPr>
      </w:pPr>
      <w:r>
        <w:rPr>
          <w:rFonts w:hint="eastAsia" w:ascii="黑体" w:hAnsi="黑体" w:eastAsia="黑体" w:cs="黑体"/>
          <w:color w:val="auto"/>
          <w:sz w:val="21"/>
          <w:highlight w:val="none"/>
          <w:lang w:val="en-US" w:eastAsia="zh-CN" w:bidi="ar-SA"/>
        </w:rPr>
        <w:t xml:space="preserve">表E.1  </w:t>
      </w:r>
      <w:r>
        <w:rPr>
          <w:rFonts w:hint="eastAsia" w:ascii="黑体" w:hAnsi="黑体" w:eastAsia="黑体" w:cs="黑体"/>
          <w:color w:val="auto"/>
          <w:sz w:val="21"/>
          <w:highlight w:val="none"/>
          <w:lang w:val="zh-CN" w:eastAsia="zh-CN" w:bidi="ar-SA"/>
        </w:rPr>
        <w:t>重要部位分类</w:t>
      </w:r>
      <w:r>
        <w:rPr>
          <w:rFonts w:hint="eastAsia" w:ascii="黑体" w:hAnsi="黑体" w:eastAsia="黑体" w:cs="黑体"/>
          <w:color w:val="auto"/>
          <w:sz w:val="21"/>
          <w:highlight w:val="none"/>
          <w:lang w:val="en-US" w:eastAsia="zh-CN" w:bidi="ar-SA"/>
        </w:rPr>
        <w:t>表</w:t>
      </w:r>
    </w:p>
    <w:tbl>
      <w:tblPr>
        <w:tblStyle w:val="38"/>
        <w:tblW w:w="823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380"/>
        <w:gridCol w:w="68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1380" w:type="dxa"/>
            <w:tcBorders>
              <w:bottom w:val="single" w:color="auto" w:sz="12" w:space="0"/>
            </w:tcBorders>
            <w:shd w:val="clear" w:color="auto" w:fill="FFFFFF"/>
            <w:noWrap w:val="0"/>
            <w:vAlign w:val="bottom"/>
          </w:tcPr>
          <w:p>
            <w:pPr>
              <w:spacing w:beforeLines="0" w:afterLine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重点目标</w:t>
            </w:r>
          </w:p>
        </w:tc>
        <w:tc>
          <w:tcPr>
            <w:tcW w:w="6850" w:type="dxa"/>
            <w:tcBorders>
              <w:bottom w:val="single" w:color="auto" w:sz="12" w:space="0"/>
            </w:tcBorders>
            <w:shd w:val="clear" w:color="auto" w:fill="FFFFFF"/>
            <w:noWrap w:val="0"/>
            <w:vAlign w:val="bottom"/>
          </w:tcPr>
          <w:p>
            <w:pPr>
              <w:spacing w:beforeLines="0" w:afterLines="0"/>
              <w:jc w:val="center"/>
              <w:rPr>
                <w:rFonts w:hint="eastAsia" w:ascii="宋体" w:hAnsi="宋体" w:eastAsia="宋体" w:cs="宋体"/>
                <w:color w:val="auto"/>
                <w:sz w:val="18"/>
                <w:szCs w:val="18"/>
                <w:highlight w:val="none"/>
                <w:lang w:val="en-US"/>
              </w:rPr>
            </w:pPr>
            <w:r>
              <w:rPr>
                <w:rFonts w:hint="eastAsia" w:ascii="宋体" w:hAnsi="宋体" w:eastAsia="宋体" w:cs="宋体"/>
                <w:color w:val="auto"/>
                <w:sz w:val="18"/>
                <w:szCs w:val="18"/>
                <w:highlight w:val="none"/>
                <w:lang w:val="zh-CN" w:eastAsia="zh-CN"/>
              </w:rPr>
              <w:t>治安</w:t>
            </w:r>
            <w:r>
              <w:rPr>
                <w:rFonts w:hint="eastAsia" w:ascii="宋体" w:hAnsi="宋体" w:eastAsia="宋体" w:cs="宋体"/>
                <w:color w:val="auto"/>
                <w:sz w:val="18"/>
                <w:szCs w:val="18"/>
                <w:highlight w:val="none"/>
                <w:lang w:val="en-US" w:eastAsia="zh-CN"/>
              </w:rPr>
              <w:t>防恐重点部位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12" w:hRule="atLeast"/>
          <w:jc w:val="center"/>
        </w:trPr>
        <w:tc>
          <w:tcPr>
            <w:tcW w:w="1380" w:type="dxa"/>
            <w:tcBorders>
              <w:top w:val="single" w:color="auto" w:sz="12" w:space="0"/>
              <w:tl2br w:val="nil"/>
              <w:tr2bl w:val="nil"/>
            </w:tcBorders>
            <w:shd w:val="clear" w:color="auto" w:fill="FFFFFF"/>
            <w:noWrap w:val="0"/>
            <w:vAlign w:val="center"/>
          </w:tcPr>
          <w:p>
            <w:pPr>
              <w:spacing w:beforeLines="0" w:afterLine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电力调度机构</w:t>
            </w:r>
          </w:p>
        </w:tc>
        <w:tc>
          <w:tcPr>
            <w:tcW w:w="6850" w:type="dxa"/>
            <w:tcBorders>
              <w:top w:val="single" w:color="auto" w:sz="12" w:space="0"/>
              <w:tl2br w:val="nil"/>
              <w:tr2bl w:val="nil"/>
            </w:tcBorders>
            <w:shd w:val="clear" w:color="auto" w:fill="FFFFFF"/>
            <w:noWrap w:val="0"/>
            <w:vAlign w:val="top"/>
          </w:tcPr>
          <w:p>
            <w:pPr>
              <w:tabs>
                <w:tab w:val="left" w:pos="533"/>
              </w:tabs>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（1）</w:t>
            </w:r>
            <w:r>
              <w:rPr>
                <w:rFonts w:hint="eastAsia" w:ascii="宋体" w:hAnsi="宋体" w:eastAsia="宋体" w:cs="宋体"/>
                <w:color w:val="auto"/>
                <w:sz w:val="18"/>
                <w:szCs w:val="18"/>
                <w:highlight w:val="none"/>
                <w:lang w:val="zh-CN" w:eastAsia="zh-CN"/>
              </w:rPr>
              <w:tab/>
            </w:r>
            <w:r>
              <w:rPr>
                <w:rFonts w:hint="eastAsia" w:ascii="宋体" w:hAnsi="宋体" w:eastAsia="宋体" w:cs="宋体"/>
                <w:color w:val="auto"/>
                <w:sz w:val="18"/>
                <w:szCs w:val="18"/>
                <w:highlight w:val="none"/>
                <w:lang w:val="zh-CN" w:eastAsia="zh-CN"/>
              </w:rPr>
              <w:t>周界；</w:t>
            </w:r>
          </w:p>
          <w:p>
            <w:pPr>
              <w:tabs>
                <w:tab w:val="left" w:pos="533"/>
              </w:tabs>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（2）</w:t>
            </w:r>
            <w:r>
              <w:rPr>
                <w:rFonts w:hint="eastAsia" w:ascii="宋体" w:hAnsi="宋体" w:eastAsia="宋体" w:cs="宋体"/>
                <w:color w:val="auto"/>
                <w:sz w:val="18"/>
                <w:szCs w:val="18"/>
                <w:highlight w:val="none"/>
                <w:lang w:val="zh-CN" w:eastAsia="zh-CN"/>
              </w:rPr>
              <w:tab/>
            </w:r>
            <w:r>
              <w:rPr>
                <w:rFonts w:hint="eastAsia" w:ascii="宋体" w:hAnsi="宋体" w:eastAsia="宋体" w:cs="宋体"/>
                <w:color w:val="auto"/>
                <w:sz w:val="18"/>
                <w:szCs w:val="18"/>
                <w:highlight w:val="none"/>
                <w:lang w:val="zh-CN" w:eastAsia="zh-CN"/>
              </w:rPr>
              <w:t>周界出入口、门卫室；</w:t>
            </w:r>
          </w:p>
          <w:p>
            <w:pPr>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（3）</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lang w:val="zh-CN" w:eastAsia="zh-CN"/>
              </w:rPr>
              <w:t>调度楼出入口；</w:t>
            </w:r>
          </w:p>
          <w:p>
            <w:pPr>
              <w:tabs>
                <w:tab w:val="left" w:pos="445"/>
              </w:tabs>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（4）</w:t>
            </w:r>
            <w:r>
              <w:rPr>
                <w:rFonts w:hint="eastAsia" w:ascii="宋体" w:hAnsi="宋体" w:eastAsia="宋体" w:cs="宋体"/>
                <w:color w:val="auto"/>
                <w:sz w:val="18"/>
                <w:szCs w:val="18"/>
                <w:highlight w:val="none"/>
                <w:lang w:val="zh-CN" w:eastAsia="zh-CN"/>
              </w:rPr>
              <w:tab/>
            </w:r>
            <w:r>
              <w:rPr>
                <w:rFonts w:hint="eastAsia" w:ascii="宋体" w:hAnsi="宋体" w:eastAsia="宋体" w:cs="宋体"/>
                <w:color w:val="auto"/>
                <w:sz w:val="18"/>
                <w:szCs w:val="18"/>
                <w:highlight w:val="none"/>
                <w:lang w:val="zh-CN" w:eastAsia="zh-CN"/>
              </w:rPr>
              <w:t>通往调度控制中心（室）、信息通信机房、通信调度中心（室）的电 梯、电梯厅及通道；</w:t>
            </w:r>
          </w:p>
          <w:p>
            <w:pPr>
              <w:tabs>
                <w:tab w:val="left" w:pos="458"/>
              </w:tabs>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（5）</w:t>
            </w:r>
            <w:r>
              <w:rPr>
                <w:rFonts w:hint="eastAsia" w:ascii="宋体" w:hAnsi="宋体" w:eastAsia="宋体" w:cs="宋体"/>
                <w:color w:val="auto"/>
                <w:sz w:val="18"/>
                <w:szCs w:val="18"/>
                <w:highlight w:val="none"/>
                <w:lang w:val="zh-CN" w:eastAsia="zh-CN"/>
              </w:rPr>
              <w:tab/>
            </w:r>
            <w:r>
              <w:rPr>
                <w:rFonts w:hint="eastAsia" w:ascii="宋体" w:hAnsi="宋体" w:eastAsia="宋体" w:cs="宋体"/>
                <w:color w:val="auto"/>
                <w:sz w:val="18"/>
                <w:szCs w:val="18"/>
                <w:highlight w:val="none"/>
                <w:lang w:val="zh-CN" w:eastAsia="zh-CN"/>
              </w:rPr>
              <w:t>调度控制中心（室）、信息通信机房、通信调度中心（室）、自动化 机房、档案室出入口及与其联通的通道；</w:t>
            </w:r>
          </w:p>
          <w:p>
            <w:pPr>
              <w:tabs>
                <w:tab w:val="left" w:pos="445"/>
              </w:tabs>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（6）</w:t>
            </w:r>
            <w:r>
              <w:rPr>
                <w:rFonts w:hint="eastAsia" w:ascii="宋体" w:hAnsi="宋体" w:eastAsia="宋体" w:cs="宋体"/>
                <w:color w:val="auto"/>
                <w:sz w:val="18"/>
                <w:szCs w:val="18"/>
                <w:highlight w:val="none"/>
                <w:lang w:val="zh-CN" w:eastAsia="zh-CN"/>
              </w:rPr>
              <w:tab/>
            </w:r>
            <w:r>
              <w:rPr>
                <w:rFonts w:hint="eastAsia" w:ascii="宋体" w:hAnsi="宋体" w:eastAsia="宋体" w:cs="宋体"/>
                <w:color w:val="auto"/>
                <w:sz w:val="18"/>
                <w:szCs w:val="18"/>
                <w:highlight w:val="none"/>
                <w:lang w:val="zh-CN" w:eastAsia="zh-CN"/>
              </w:rPr>
              <w:t>调度控制中心（室）与信息通信机房以及配电室相连的强弱电设备 间，供电电缆、通讯电缆、光缆等线缆通道；</w:t>
            </w:r>
          </w:p>
          <w:p>
            <w:pPr>
              <w:tabs>
                <w:tab w:val="left" w:pos="533"/>
              </w:tabs>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（7）</w:t>
            </w:r>
            <w:r>
              <w:rPr>
                <w:rFonts w:hint="eastAsia" w:ascii="宋体" w:hAnsi="宋体" w:eastAsia="宋体" w:cs="宋体"/>
                <w:color w:val="auto"/>
                <w:sz w:val="18"/>
                <w:szCs w:val="18"/>
                <w:highlight w:val="none"/>
                <w:lang w:val="zh-CN" w:eastAsia="zh-CN"/>
              </w:rPr>
              <w:tab/>
            </w:r>
            <w:r>
              <w:rPr>
                <w:rFonts w:hint="eastAsia" w:ascii="宋体" w:hAnsi="宋体" w:eastAsia="宋体" w:cs="宋体"/>
                <w:color w:val="auto"/>
                <w:sz w:val="18"/>
                <w:szCs w:val="18"/>
                <w:highlight w:val="none"/>
                <w:lang w:val="zh-CN" w:eastAsia="zh-CN"/>
              </w:rPr>
              <w:t>与外界相通的窗口、通风口、管道口（沟、渠等）；</w:t>
            </w:r>
          </w:p>
          <w:p>
            <w:pPr>
              <w:tabs>
                <w:tab w:val="left" w:pos="533"/>
              </w:tabs>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（8）</w:t>
            </w:r>
            <w:r>
              <w:rPr>
                <w:rFonts w:hint="eastAsia" w:ascii="宋体" w:hAnsi="宋体" w:eastAsia="宋体" w:cs="宋体"/>
                <w:color w:val="auto"/>
                <w:sz w:val="18"/>
                <w:szCs w:val="18"/>
                <w:highlight w:val="none"/>
                <w:lang w:val="zh-CN" w:eastAsia="zh-CN"/>
              </w:rPr>
              <w:tab/>
            </w:r>
            <w:r>
              <w:rPr>
                <w:rFonts w:hint="eastAsia" w:ascii="宋体" w:hAnsi="宋体" w:eastAsia="宋体" w:cs="宋体"/>
                <w:color w:val="auto"/>
                <w:sz w:val="18"/>
                <w:szCs w:val="18"/>
                <w:highlight w:val="none"/>
                <w:lang w:val="zh-CN" w:eastAsia="zh-CN"/>
              </w:rPr>
              <w:t>安防监控中心（室）；</w:t>
            </w:r>
          </w:p>
          <w:p>
            <w:pPr>
              <w:tabs>
                <w:tab w:val="left" w:pos="572"/>
              </w:tabs>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（9）</w:t>
            </w:r>
            <w:r>
              <w:rPr>
                <w:rFonts w:hint="eastAsia" w:ascii="宋体" w:hAnsi="宋体" w:eastAsia="宋体" w:cs="宋体"/>
                <w:color w:val="auto"/>
                <w:sz w:val="18"/>
                <w:szCs w:val="18"/>
                <w:highlight w:val="none"/>
                <w:lang w:val="zh-CN" w:eastAsia="zh-CN"/>
              </w:rPr>
              <w:tab/>
            </w:r>
            <w:r>
              <w:rPr>
                <w:rFonts w:hint="eastAsia" w:ascii="宋体" w:hAnsi="宋体" w:eastAsia="宋体" w:cs="宋体"/>
                <w:color w:val="auto"/>
                <w:sz w:val="18"/>
                <w:szCs w:val="18"/>
                <w:highlight w:val="none"/>
                <w:lang w:val="zh-CN" w:eastAsia="zh-CN"/>
              </w:rPr>
              <w:t>其他经评估应列为的重点部位。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49" w:hRule="atLeast"/>
          <w:jc w:val="center"/>
        </w:trPr>
        <w:tc>
          <w:tcPr>
            <w:tcW w:w="1380" w:type="dxa"/>
            <w:tcBorders>
              <w:tl2br w:val="nil"/>
              <w:tr2bl w:val="nil"/>
            </w:tcBorders>
            <w:shd w:val="clear" w:color="auto" w:fill="FFFFFF"/>
            <w:noWrap w:val="0"/>
            <w:vAlign w:val="center"/>
          </w:tcPr>
          <w:p>
            <w:pPr>
              <w:spacing w:beforeLines="0" w:afterLine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变电站、换流站（含接地极址）</w:t>
            </w:r>
          </w:p>
        </w:tc>
        <w:tc>
          <w:tcPr>
            <w:tcW w:w="6850" w:type="dxa"/>
            <w:tcBorders>
              <w:tl2br w:val="nil"/>
              <w:tr2bl w:val="nil"/>
            </w:tcBorders>
            <w:shd w:val="clear" w:color="auto" w:fill="FFFFFF"/>
            <w:noWrap w:val="0"/>
            <w:vAlign w:val="top"/>
          </w:tcPr>
          <w:p>
            <w:pPr>
              <w:tabs>
                <w:tab w:val="left" w:pos="533"/>
              </w:tabs>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（1）</w:t>
            </w:r>
            <w:r>
              <w:rPr>
                <w:rFonts w:hint="eastAsia" w:ascii="宋体" w:hAnsi="宋体" w:eastAsia="宋体" w:cs="宋体"/>
                <w:color w:val="auto"/>
                <w:sz w:val="18"/>
                <w:szCs w:val="18"/>
                <w:highlight w:val="none"/>
                <w:lang w:val="zh-CN" w:eastAsia="zh-CN"/>
              </w:rPr>
              <w:tab/>
            </w:r>
            <w:r>
              <w:rPr>
                <w:rFonts w:hint="eastAsia" w:ascii="宋体" w:hAnsi="宋体" w:eastAsia="宋体" w:cs="宋体"/>
                <w:color w:val="auto"/>
                <w:sz w:val="18"/>
                <w:szCs w:val="18"/>
                <w:highlight w:val="none"/>
                <w:lang w:val="zh-CN" w:eastAsia="zh-CN"/>
              </w:rPr>
              <w:t>周界；</w:t>
            </w:r>
          </w:p>
          <w:p>
            <w:pPr>
              <w:tabs>
                <w:tab w:val="left" w:pos="533"/>
              </w:tabs>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（2）</w:t>
            </w:r>
            <w:r>
              <w:rPr>
                <w:rFonts w:hint="eastAsia" w:ascii="宋体" w:hAnsi="宋体" w:eastAsia="宋体" w:cs="宋体"/>
                <w:color w:val="auto"/>
                <w:sz w:val="18"/>
                <w:szCs w:val="18"/>
                <w:highlight w:val="none"/>
                <w:lang w:val="zh-CN" w:eastAsia="zh-CN"/>
              </w:rPr>
              <w:tab/>
            </w:r>
            <w:r>
              <w:rPr>
                <w:rFonts w:hint="eastAsia" w:ascii="宋体" w:hAnsi="宋体" w:eastAsia="宋体" w:cs="宋体"/>
                <w:color w:val="auto"/>
                <w:sz w:val="18"/>
                <w:szCs w:val="18"/>
                <w:highlight w:val="none"/>
                <w:lang w:val="zh-CN" w:eastAsia="zh-CN"/>
              </w:rPr>
              <w:t>周界出入口、门卫室；</w:t>
            </w:r>
          </w:p>
          <w:p>
            <w:pPr>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（3）</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lang w:val="zh-CN" w:eastAsia="zh-CN"/>
              </w:rPr>
              <w:t>与站外相通的窗口、通风口、管道口（沟、渠等）；</w:t>
            </w:r>
          </w:p>
          <w:p>
            <w:pPr>
              <w:tabs>
                <w:tab w:val="left" w:pos="533"/>
              </w:tabs>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（4）</w:t>
            </w:r>
            <w:r>
              <w:rPr>
                <w:rFonts w:hint="eastAsia" w:ascii="宋体" w:hAnsi="宋体" w:eastAsia="宋体" w:cs="宋体"/>
                <w:color w:val="auto"/>
                <w:sz w:val="18"/>
                <w:szCs w:val="18"/>
                <w:highlight w:val="none"/>
                <w:lang w:val="zh-CN" w:eastAsia="zh-CN"/>
              </w:rPr>
              <w:tab/>
            </w:r>
            <w:r>
              <w:rPr>
                <w:rFonts w:hint="eastAsia" w:ascii="宋体" w:hAnsi="宋体" w:eastAsia="宋体" w:cs="宋体"/>
                <w:color w:val="auto"/>
                <w:sz w:val="18"/>
                <w:szCs w:val="18"/>
                <w:highlight w:val="none"/>
                <w:lang w:val="zh-CN" w:eastAsia="zh-CN"/>
              </w:rPr>
              <w:t>安防监控中心（室）/安防设备间；</w:t>
            </w:r>
          </w:p>
          <w:p>
            <w:pPr>
              <w:tabs>
                <w:tab w:val="left" w:pos="572"/>
              </w:tabs>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（5）</w:t>
            </w:r>
            <w:r>
              <w:rPr>
                <w:rFonts w:hint="eastAsia" w:ascii="宋体" w:hAnsi="宋体" w:eastAsia="宋体" w:cs="宋体"/>
                <w:color w:val="auto"/>
                <w:sz w:val="18"/>
                <w:szCs w:val="18"/>
                <w:highlight w:val="none"/>
                <w:lang w:val="zh-CN" w:eastAsia="zh-CN"/>
              </w:rPr>
              <w:tab/>
            </w:r>
            <w:r>
              <w:rPr>
                <w:rFonts w:hint="eastAsia" w:ascii="宋体" w:hAnsi="宋体" w:eastAsia="宋体" w:cs="宋体"/>
                <w:color w:val="auto"/>
                <w:sz w:val="18"/>
                <w:szCs w:val="18"/>
                <w:highlight w:val="none"/>
                <w:lang w:val="zh-CN" w:eastAsia="zh-CN"/>
              </w:rPr>
              <w:t>主控楼出入口；</w:t>
            </w:r>
          </w:p>
          <w:p>
            <w:pPr>
              <w:tabs>
                <w:tab w:val="left" w:pos="572"/>
              </w:tabs>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（6）</w:t>
            </w:r>
            <w:r>
              <w:rPr>
                <w:rFonts w:hint="eastAsia" w:ascii="宋体" w:hAnsi="宋体" w:eastAsia="宋体" w:cs="宋体"/>
                <w:color w:val="auto"/>
                <w:sz w:val="18"/>
                <w:szCs w:val="18"/>
                <w:highlight w:val="none"/>
                <w:lang w:val="zh-CN" w:eastAsia="zh-CN"/>
              </w:rPr>
              <w:tab/>
            </w:r>
            <w:r>
              <w:rPr>
                <w:rFonts w:hint="eastAsia" w:ascii="宋体" w:hAnsi="宋体" w:eastAsia="宋体" w:cs="宋体"/>
                <w:color w:val="auto"/>
                <w:sz w:val="18"/>
                <w:szCs w:val="18"/>
                <w:highlight w:val="none"/>
                <w:lang w:val="zh-CN" w:eastAsia="zh-CN"/>
              </w:rPr>
              <w:t>主控室、二次设备机房出入口。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1380" w:type="dxa"/>
            <w:tcBorders>
              <w:tl2br w:val="nil"/>
              <w:tr2bl w:val="nil"/>
            </w:tcBorders>
            <w:shd w:val="clear" w:color="auto" w:fill="FFFFFF"/>
            <w:noWrap w:val="0"/>
            <w:vAlign w:val="center"/>
          </w:tcPr>
          <w:p>
            <w:pPr>
              <w:spacing w:beforeLines="0" w:afterLine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直接为重要用户供电的变电站、开关站</w:t>
            </w:r>
          </w:p>
        </w:tc>
        <w:tc>
          <w:tcPr>
            <w:tcW w:w="6850" w:type="dxa"/>
            <w:tcBorders>
              <w:tl2br w:val="nil"/>
              <w:tr2bl w:val="nil"/>
            </w:tcBorders>
            <w:shd w:val="clear" w:color="auto" w:fill="FFFFFF"/>
            <w:noWrap w:val="0"/>
            <w:vAlign w:val="top"/>
          </w:tcPr>
          <w:p>
            <w:pPr>
              <w:tabs>
                <w:tab w:val="left" w:pos="533"/>
              </w:tabs>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（1）</w:t>
            </w:r>
            <w:r>
              <w:rPr>
                <w:rFonts w:hint="eastAsia" w:ascii="宋体" w:hAnsi="宋体" w:eastAsia="宋体" w:cs="宋体"/>
                <w:color w:val="auto"/>
                <w:sz w:val="18"/>
                <w:szCs w:val="18"/>
                <w:highlight w:val="none"/>
                <w:lang w:val="zh-CN" w:eastAsia="zh-CN"/>
              </w:rPr>
              <w:tab/>
            </w:r>
            <w:r>
              <w:rPr>
                <w:rFonts w:hint="eastAsia" w:ascii="宋体" w:hAnsi="宋体" w:eastAsia="宋体" w:cs="宋体"/>
                <w:color w:val="auto"/>
                <w:sz w:val="18"/>
                <w:szCs w:val="18"/>
                <w:highlight w:val="none"/>
                <w:lang w:val="zh-CN" w:eastAsia="zh-CN"/>
              </w:rPr>
              <w:t>周界；</w:t>
            </w:r>
          </w:p>
          <w:p>
            <w:pPr>
              <w:tabs>
                <w:tab w:val="left" w:pos="533"/>
              </w:tabs>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（2）</w:t>
            </w:r>
            <w:r>
              <w:rPr>
                <w:rFonts w:hint="eastAsia" w:ascii="宋体" w:hAnsi="宋体" w:eastAsia="宋体" w:cs="宋体"/>
                <w:color w:val="auto"/>
                <w:sz w:val="18"/>
                <w:szCs w:val="18"/>
                <w:highlight w:val="none"/>
                <w:lang w:val="zh-CN" w:eastAsia="zh-CN"/>
              </w:rPr>
              <w:tab/>
            </w:r>
            <w:r>
              <w:rPr>
                <w:rFonts w:hint="eastAsia" w:ascii="宋体" w:hAnsi="宋体" w:eastAsia="宋体" w:cs="宋体"/>
                <w:color w:val="auto"/>
                <w:sz w:val="18"/>
                <w:szCs w:val="18"/>
                <w:highlight w:val="none"/>
                <w:lang w:val="zh-CN" w:eastAsia="zh-CN"/>
              </w:rPr>
              <w:t>周界出入口（开关站与站外相通的门）；</w:t>
            </w:r>
          </w:p>
          <w:p>
            <w:pPr>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（3）</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lang w:val="zh-CN" w:eastAsia="zh-CN"/>
              </w:rPr>
              <w:t>与外界相通的窗口、通风口、管道口（沟、渠等）；</w:t>
            </w:r>
          </w:p>
          <w:p>
            <w:pPr>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（4）</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lang w:val="zh-CN" w:eastAsia="zh-CN"/>
              </w:rPr>
              <w:t>与开关站相通的门。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911" w:hRule="atLeast"/>
          <w:jc w:val="center"/>
        </w:trPr>
        <w:tc>
          <w:tcPr>
            <w:tcW w:w="1380" w:type="dxa"/>
            <w:tcBorders>
              <w:tl2br w:val="nil"/>
              <w:tr2bl w:val="nil"/>
            </w:tcBorders>
            <w:shd w:val="clear" w:color="auto" w:fill="FFFFFF"/>
            <w:noWrap w:val="0"/>
            <w:vAlign w:val="center"/>
          </w:tcPr>
          <w:p>
            <w:pPr>
              <w:spacing w:beforeLines="0" w:afterLine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非生产场所</w:t>
            </w:r>
          </w:p>
        </w:tc>
        <w:tc>
          <w:tcPr>
            <w:tcW w:w="6850" w:type="dxa"/>
            <w:tcBorders>
              <w:tl2br w:val="nil"/>
              <w:tr2bl w:val="nil"/>
            </w:tcBorders>
            <w:shd w:val="clear" w:color="auto" w:fill="FFFFFF"/>
            <w:noWrap w:val="0"/>
            <w:vAlign w:val="top"/>
          </w:tcPr>
          <w:p>
            <w:pPr>
              <w:tabs>
                <w:tab w:val="left" w:pos="533"/>
              </w:tabs>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（1）</w:t>
            </w:r>
            <w:r>
              <w:rPr>
                <w:rFonts w:hint="eastAsia" w:ascii="宋体" w:hAnsi="宋体" w:eastAsia="宋体" w:cs="宋体"/>
                <w:color w:val="auto"/>
                <w:sz w:val="18"/>
                <w:szCs w:val="18"/>
                <w:highlight w:val="none"/>
                <w:lang w:val="zh-CN" w:eastAsia="zh-CN"/>
              </w:rPr>
              <w:tab/>
            </w:r>
            <w:r>
              <w:rPr>
                <w:rFonts w:hint="eastAsia" w:ascii="宋体" w:hAnsi="宋体" w:eastAsia="宋体" w:cs="宋体"/>
                <w:color w:val="auto"/>
                <w:sz w:val="18"/>
                <w:szCs w:val="18"/>
                <w:highlight w:val="none"/>
                <w:lang w:val="zh-CN" w:eastAsia="zh-CN"/>
              </w:rPr>
              <w:t>周界；</w:t>
            </w:r>
          </w:p>
          <w:p>
            <w:pPr>
              <w:tabs>
                <w:tab w:val="left" w:pos="533"/>
              </w:tabs>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（2）</w:t>
            </w:r>
            <w:r>
              <w:rPr>
                <w:rFonts w:hint="eastAsia" w:ascii="宋体" w:hAnsi="宋体" w:eastAsia="宋体" w:cs="宋体"/>
                <w:color w:val="auto"/>
                <w:sz w:val="18"/>
                <w:szCs w:val="18"/>
                <w:highlight w:val="none"/>
                <w:lang w:val="zh-CN" w:eastAsia="zh-CN"/>
              </w:rPr>
              <w:tab/>
            </w:r>
            <w:r>
              <w:rPr>
                <w:rFonts w:hint="eastAsia" w:ascii="宋体" w:hAnsi="宋体" w:eastAsia="宋体" w:cs="宋体"/>
                <w:color w:val="auto"/>
                <w:sz w:val="18"/>
                <w:szCs w:val="18"/>
                <w:highlight w:val="none"/>
                <w:lang w:val="zh-CN" w:eastAsia="zh-CN"/>
              </w:rPr>
              <w:t>周界出入口、门卫室；</w:t>
            </w:r>
          </w:p>
          <w:p>
            <w:pPr>
              <w:tabs>
                <w:tab w:val="left" w:pos="445"/>
              </w:tabs>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（3）</w:t>
            </w:r>
            <w:r>
              <w:rPr>
                <w:rFonts w:hint="eastAsia" w:ascii="宋体" w:hAnsi="宋体" w:eastAsia="宋体" w:cs="宋体"/>
                <w:color w:val="auto"/>
                <w:sz w:val="18"/>
                <w:szCs w:val="18"/>
                <w:highlight w:val="none"/>
                <w:lang w:val="zh-CN" w:eastAsia="zh-CN"/>
              </w:rPr>
              <w:tab/>
            </w:r>
            <w:r>
              <w:rPr>
                <w:rFonts w:hint="eastAsia" w:ascii="宋体" w:hAnsi="宋体" w:eastAsia="宋体" w:cs="宋体"/>
                <w:color w:val="auto"/>
                <w:sz w:val="18"/>
                <w:szCs w:val="18"/>
                <w:highlight w:val="none"/>
                <w:lang w:val="zh-CN" w:eastAsia="zh-CN"/>
              </w:rPr>
              <w:t>财务室、机要室、档案室、通信机房、自动化机房、信息机房、配 电房、电池室等主要出入口及与其联通的走廊；</w:t>
            </w:r>
          </w:p>
          <w:p>
            <w:pPr>
              <w:tabs>
                <w:tab w:val="left" w:pos="533"/>
              </w:tabs>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（4）</w:t>
            </w:r>
            <w:r>
              <w:rPr>
                <w:rFonts w:hint="eastAsia" w:ascii="宋体" w:hAnsi="宋体" w:eastAsia="宋体" w:cs="宋体"/>
                <w:color w:val="auto"/>
                <w:sz w:val="18"/>
                <w:szCs w:val="18"/>
                <w:highlight w:val="none"/>
                <w:lang w:val="zh-CN" w:eastAsia="zh-CN"/>
              </w:rPr>
              <w:tab/>
            </w:r>
            <w:r>
              <w:rPr>
                <w:rFonts w:hint="eastAsia" w:ascii="宋体" w:hAnsi="宋体" w:eastAsia="宋体" w:cs="宋体"/>
                <w:color w:val="auto"/>
                <w:sz w:val="18"/>
                <w:szCs w:val="18"/>
                <w:highlight w:val="none"/>
                <w:lang w:val="zh-CN" w:eastAsia="zh-CN"/>
              </w:rPr>
              <w:t>与外界相通的窗口、通风口、管道口（沟、渠等）；</w:t>
            </w:r>
          </w:p>
          <w:p>
            <w:pPr>
              <w:tabs>
                <w:tab w:val="left" w:pos="533"/>
              </w:tabs>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（5）</w:t>
            </w:r>
            <w:r>
              <w:rPr>
                <w:rFonts w:hint="eastAsia" w:ascii="宋体" w:hAnsi="宋体" w:eastAsia="宋体" w:cs="宋体"/>
                <w:color w:val="auto"/>
                <w:sz w:val="18"/>
                <w:szCs w:val="18"/>
                <w:highlight w:val="none"/>
                <w:lang w:val="zh-CN" w:eastAsia="zh-CN"/>
              </w:rPr>
              <w:tab/>
            </w:r>
            <w:r>
              <w:rPr>
                <w:rFonts w:hint="eastAsia" w:ascii="宋体" w:hAnsi="宋体" w:eastAsia="宋体" w:cs="宋体"/>
                <w:color w:val="auto"/>
                <w:sz w:val="18"/>
                <w:szCs w:val="18"/>
                <w:highlight w:val="none"/>
                <w:lang w:val="zh-CN" w:eastAsia="zh-CN"/>
              </w:rPr>
              <w:t>安防监控中心（室）。</w:t>
            </w:r>
          </w:p>
          <w:p>
            <w:pPr>
              <w:tabs>
                <w:tab w:val="left" w:pos="527"/>
              </w:tabs>
              <w:spacing w:beforeLines="0" w:afterLines="0"/>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（6）</w:t>
            </w:r>
            <w:r>
              <w:rPr>
                <w:rFonts w:hint="eastAsia" w:ascii="宋体" w:hAnsi="宋体" w:eastAsia="宋体" w:cs="宋体"/>
                <w:color w:val="auto"/>
                <w:sz w:val="18"/>
                <w:szCs w:val="18"/>
                <w:highlight w:val="none"/>
                <w:lang w:val="zh-CN" w:eastAsia="zh-CN"/>
              </w:rPr>
              <w:tab/>
            </w:r>
            <w:r>
              <w:rPr>
                <w:rFonts w:hint="eastAsia" w:ascii="宋体" w:hAnsi="宋体" w:eastAsia="宋体" w:cs="宋体"/>
                <w:color w:val="auto"/>
                <w:sz w:val="18"/>
                <w:szCs w:val="18"/>
                <w:highlight w:val="none"/>
                <w:lang w:val="zh-CN" w:eastAsia="zh-CN"/>
              </w:rPr>
              <w:t>其他经评估应列为的重点部位。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3" w:hRule="atLeast"/>
          <w:jc w:val="center"/>
        </w:trPr>
        <w:tc>
          <w:tcPr>
            <w:tcW w:w="1380" w:type="dxa"/>
            <w:tcBorders>
              <w:tl2br w:val="nil"/>
              <w:tr2bl w:val="nil"/>
            </w:tcBorders>
            <w:shd w:val="clear" w:color="auto" w:fill="FFFFFF"/>
            <w:noWrap w:val="0"/>
            <w:vAlign w:val="center"/>
          </w:tcPr>
          <w:p>
            <w:pPr>
              <w:spacing w:beforeLines="0" w:afterLine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其他</w:t>
            </w:r>
          </w:p>
        </w:tc>
        <w:tc>
          <w:tcPr>
            <w:tcW w:w="6850" w:type="dxa"/>
            <w:tcBorders>
              <w:tl2br w:val="nil"/>
              <w:tr2bl w:val="nil"/>
            </w:tcBorders>
            <w:shd w:val="clear" w:color="auto" w:fill="FFFFFF"/>
            <w:noWrap w:val="0"/>
            <w:vAlign w:val="top"/>
          </w:tcPr>
          <w:p>
            <w:pPr>
              <w:spacing w:beforeLines="0" w:afterLine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zh-CN" w:eastAsia="zh-CN"/>
              </w:rPr>
              <w:t>根据属地实际，由政府、公安机关会同有关部门、相关企业依据国家有关 规定共同确定的其他设施、部位。</w:t>
            </w:r>
          </w:p>
        </w:tc>
      </w:tr>
    </w:tbl>
    <w:p>
      <w:pPr>
        <w:keepNext w:val="0"/>
        <w:keepLines w:val="0"/>
        <w:pageBreakBefore w:val="0"/>
        <w:widowControl w:val="0"/>
        <w:kinsoku/>
        <w:wordWrap/>
        <w:overflowPunct/>
        <w:topLinePunct w:val="0"/>
        <w:autoSpaceDE/>
        <w:autoSpaceDN/>
        <w:bidi w:val="0"/>
        <w:adjustRightInd/>
        <w:snapToGrid/>
        <w:spacing w:line="100" w:lineRule="exact"/>
        <w:jc w:val="center"/>
        <w:textAlignment w:val="auto"/>
        <w:rPr>
          <w:rFonts w:hint="eastAsia" w:ascii="黑体" w:hAnsi="黑体" w:eastAsia="黑体" w:cs="黑体"/>
          <w:color w:val="auto"/>
          <w:highlight w:val="none"/>
        </w:rPr>
      </w:pPr>
    </w:p>
    <w:p>
      <w:pPr>
        <w:keepNext w:val="0"/>
        <w:keepLines w:val="0"/>
        <w:pageBreakBefore w:val="0"/>
        <w:widowControl w:val="0"/>
        <w:kinsoku/>
        <w:wordWrap/>
        <w:overflowPunct/>
        <w:topLinePunct w:val="0"/>
        <w:autoSpaceDE/>
        <w:autoSpaceDN/>
        <w:bidi w:val="0"/>
        <w:adjustRightInd/>
        <w:snapToGrid/>
        <w:spacing w:before="850"/>
        <w:jc w:val="center"/>
        <w:textAlignment w:val="auto"/>
        <w:rPr>
          <w:rFonts w:hint="eastAsia" w:ascii="黑体" w:hAnsi="黑体" w:eastAsia="黑体" w:cs="黑体"/>
          <w:color w:val="auto"/>
          <w:highlight w:val="none"/>
        </w:rPr>
      </w:pPr>
    </w:p>
    <w:p>
      <w:pPr>
        <w:spacing w:after="312" w:afterLines="100"/>
        <w:jc w:val="center"/>
        <w:outlineLvl w:val="0"/>
        <w:rPr>
          <w:rFonts w:hint="eastAsia" w:ascii="Times New Roman" w:hAnsi="Times New Roman" w:eastAsia="宋体" w:cs="Times New Roman"/>
          <w:sz w:val="36"/>
          <w:szCs w:val="36"/>
          <w:highlight w:val="none"/>
          <w:lang w:val="zh-CN" w:eastAsia="zh-CN"/>
        </w:rPr>
      </w:pPr>
      <w:bookmarkStart w:id="385" w:name="_Toc22641"/>
      <w:r>
        <w:rPr>
          <w:rFonts w:hint="eastAsia" w:ascii="Times New Roman" w:hAnsi="Times New Roman" w:eastAsia="宋体" w:cs="Times New Roman"/>
          <w:sz w:val="36"/>
          <w:szCs w:val="36"/>
          <w:highlight w:val="none"/>
        </w:rPr>
        <w:t>附录</w:t>
      </w:r>
      <w:r>
        <w:rPr>
          <w:rFonts w:hint="eastAsia" w:ascii="Times New Roman" w:hAnsi="Times New Roman" w:eastAsia="宋体" w:cs="Times New Roman"/>
          <w:sz w:val="36"/>
          <w:szCs w:val="36"/>
          <w:highlight w:val="none"/>
          <w:lang w:val="en-US" w:eastAsia="zh-CN"/>
        </w:rPr>
        <w:t xml:space="preserve">F  </w:t>
      </w:r>
      <w:r>
        <w:rPr>
          <w:rFonts w:hint="eastAsia" w:ascii="Times New Roman" w:hAnsi="Times New Roman" w:eastAsia="宋体" w:cs="Times New Roman"/>
          <w:sz w:val="36"/>
          <w:szCs w:val="36"/>
          <w:highlight w:val="none"/>
          <w:lang w:val="zh-CN" w:eastAsia="zh-CN"/>
        </w:rPr>
        <w:t>建筑物内公共区域保洁服务标准</w:t>
      </w:r>
      <w:bookmarkEnd w:id="385"/>
    </w:p>
    <w:p>
      <w:pPr>
        <w:pStyle w:val="59"/>
        <w:tabs>
          <w:tab w:val="center" w:pos="4201"/>
          <w:tab w:val="right" w:leader="dot" w:pos="9298"/>
        </w:tabs>
        <w:jc w:val="both"/>
        <w:rPr>
          <w:rFonts w:hint="eastAsia" w:ascii="宋体" w:hAnsi="宋体" w:eastAsia="宋体" w:cs="宋体"/>
          <w:color w:val="auto"/>
          <w:sz w:val="21"/>
          <w:highlight w:val="none"/>
          <w:lang w:val="en-US" w:eastAsia="zh-CN" w:bidi="ar-SA"/>
        </w:rPr>
      </w:pPr>
    </w:p>
    <w:p>
      <w:pPr>
        <w:pStyle w:val="59"/>
        <w:tabs>
          <w:tab w:val="center" w:pos="4201"/>
          <w:tab w:val="right" w:leader="dot" w:pos="9298"/>
        </w:tabs>
        <w:jc w:val="both"/>
        <w:rPr>
          <w:rFonts w:hint="eastAsia" w:ascii="宋体" w:hAnsi="宋体" w:eastAsia="宋体" w:cs="宋体"/>
          <w:color w:val="auto"/>
          <w:sz w:val="21"/>
          <w:highlight w:val="none"/>
          <w:lang w:val="en-US" w:eastAsia="zh-CN" w:bidi="ar-SA"/>
        </w:rPr>
      </w:pPr>
    </w:p>
    <w:p>
      <w:pPr>
        <w:pStyle w:val="59"/>
        <w:tabs>
          <w:tab w:val="center" w:pos="4201"/>
          <w:tab w:val="right" w:leader="dot" w:pos="9298"/>
        </w:tabs>
        <w:jc w:val="both"/>
        <w:rPr>
          <w:rFonts w:hint="eastAsia" w:ascii="宋体" w:hAnsi="宋体" w:eastAsia="宋体" w:cs="宋体"/>
          <w:color w:val="auto"/>
          <w:sz w:val="21"/>
          <w:highlight w:val="none"/>
          <w:lang w:val="en-US" w:eastAsia="zh-CN" w:bidi="ar-SA"/>
        </w:rPr>
      </w:pPr>
      <w:r>
        <w:rPr>
          <w:rFonts w:hint="eastAsia" w:ascii="宋体" w:hAnsi="宋体" w:eastAsia="宋体" w:cs="宋体"/>
          <w:color w:val="auto"/>
          <w:sz w:val="21"/>
          <w:highlight w:val="none"/>
          <w:lang w:val="en-US" w:eastAsia="zh-CN" w:bidi="ar-SA"/>
        </w:rPr>
        <w:t>项目主要分类的建筑物内公共区域保洁服务标准见表</w:t>
      </w:r>
      <w:r>
        <w:rPr>
          <w:rFonts w:hint="eastAsia" w:hAnsi="宋体" w:eastAsia="宋体" w:cs="宋体"/>
          <w:color w:val="auto"/>
          <w:sz w:val="21"/>
          <w:highlight w:val="none"/>
          <w:lang w:val="en-US" w:eastAsia="zh-CN" w:bidi="ar-SA"/>
        </w:rPr>
        <w:t>F</w:t>
      </w:r>
      <w:r>
        <w:rPr>
          <w:rFonts w:hint="eastAsia" w:ascii="宋体" w:hAnsi="宋体" w:eastAsia="宋体" w:cs="宋体"/>
          <w:color w:val="auto"/>
          <w:sz w:val="21"/>
          <w:highlight w:val="none"/>
          <w:lang w:val="en-US" w:eastAsia="zh-CN" w:bidi="ar-SA"/>
        </w:rPr>
        <w:t>.1。</w:t>
      </w:r>
    </w:p>
    <w:p>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after="157" w:afterLines="50"/>
        <w:jc w:val="center"/>
        <w:textAlignment w:val="auto"/>
        <w:rPr>
          <w:rFonts w:hint="eastAsia" w:ascii="宋体" w:hAnsi="宋体" w:eastAsia="宋体" w:cs="宋体"/>
          <w:color w:val="auto"/>
          <w:sz w:val="21"/>
          <w:highlight w:val="none"/>
          <w:lang w:val="en-US" w:eastAsia="zh-CN" w:bidi="ar-SA"/>
        </w:rPr>
      </w:pPr>
      <w:r>
        <w:rPr>
          <w:rFonts w:hint="eastAsia" w:ascii="黑体" w:hAnsi="黑体" w:eastAsia="黑体" w:cs="黑体"/>
          <w:color w:val="auto"/>
          <w:sz w:val="21"/>
          <w:highlight w:val="none"/>
          <w:lang w:val="en-US" w:eastAsia="zh-CN" w:bidi="ar-SA"/>
        </w:rPr>
        <w:t>表F.1  建筑物内公共区域保洁服务标准</w:t>
      </w:r>
    </w:p>
    <w:tbl>
      <w:tblPr>
        <w:tblStyle w:val="38"/>
        <w:tblW w:w="488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842"/>
        <w:gridCol w:w="1633"/>
        <w:gridCol w:w="871"/>
        <w:gridCol w:w="1707"/>
        <w:gridCol w:w="825"/>
        <w:gridCol w:w="17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527"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服务项目</w:t>
            </w:r>
          </w:p>
        </w:tc>
        <w:tc>
          <w:tcPr>
            <w:tcW w:w="2202" w:type="dxa"/>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电力调度大楼</w:t>
            </w:r>
          </w:p>
        </w:tc>
        <w:tc>
          <w:tcPr>
            <w:tcW w:w="2294" w:type="dxa"/>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发电厂</w:t>
            </w:r>
          </w:p>
        </w:tc>
        <w:tc>
          <w:tcPr>
            <w:tcW w:w="2295" w:type="dxa"/>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换流站、变电站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527" w:type="dxa"/>
            <w:vMerge w:val="continue"/>
            <w:tcBorders>
              <w:bottom w:val="single" w:color="000000" w:sz="12"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highlight w:val="none"/>
                <w:u w:val="none"/>
              </w:rPr>
            </w:pPr>
          </w:p>
        </w:tc>
        <w:tc>
          <w:tcPr>
            <w:tcW w:w="749" w:type="dxa"/>
            <w:tcBorders>
              <w:bottom w:val="single" w:color="000000" w:sz="12"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频次</w:t>
            </w:r>
          </w:p>
        </w:tc>
        <w:tc>
          <w:tcPr>
            <w:tcW w:w="1453" w:type="dxa"/>
            <w:tcBorders>
              <w:bottom w:val="single" w:color="000000" w:sz="12"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服务标准</w:t>
            </w:r>
          </w:p>
        </w:tc>
        <w:tc>
          <w:tcPr>
            <w:tcW w:w="775" w:type="dxa"/>
            <w:tcBorders>
              <w:bottom w:val="single" w:color="000000" w:sz="12"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频次</w:t>
            </w:r>
          </w:p>
        </w:tc>
        <w:tc>
          <w:tcPr>
            <w:tcW w:w="1519" w:type="dxa"/>
            <w:tcBorders>
              <w:bottom w:val="single" w:color="000000" w:sz="12"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服务标准</w:t>
            </w:r>
          </w:p>
        </w:tc>
        <w:tc>
          <w:tcPr>
            <w:tcW w:w="734" w:type="dxa"/>
            <w:tcBorders>
              <w:bottom w:val="single" w:color="000000" w:sz="12"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频次</w:t>
            </w:r>
          </w:p>
        </w:tc>
        <w:tc>
          <w:tcPr>
            <w:tcW w:w="1561" w:type="dxa"/>
            <w:tcBorders>
              <w:bottom w:val="single" w:color="000000" w:sz="12"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27" w:type="dxa"/>
            <w:tcBorders>
              <w:top w:val="single" w:color="000000" w:sz="12"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地面、墙面、天花、楼道</w:t>
            </w:r>
          </w:p>
        </w:tc>
        <w:tc>
          <w:tcPr>
            <w:tcW w:w="749" w:type="dxa"/>
            <w:tcBorders>
              <w:top w:val="single" w:color="000000" w:sz="12"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w:t>
            </w:r>
            <w:r>
              <w:rPr>
                <w:rFonts w:hint="eastAsia" w:ascii="宋体" w:hAnsi="宋体"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t>日</w:t>
            </w:r>
          </w:p>
        </w:tc>
        <w:tc>
          <w:tcPr>
            <w:tcW w:w="1453" w:type="dxa"/>
            <w:tcBorders>
              <w:top w:val="single" w:color="000000" w:sz="12"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无污渍、无积尘、无蜘蛛网、无垃圾。</w:t>
            </w:r>
          </w:p>
        </w:tc>
        <w:tc>
          <w:tcPr>
            <w:tcW w:w="775" w:type="dxa"/>
            <w:tcBorders>
              <w:top w:val="single" w:color="000000" w:sz="12"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≥2次/</w:t>
            </w:r>
            <w:r>
              <w:rPr>
                <w:rFonts w:hint="eastAsia" w:ascii="宋体" w:hAnsi="宋体"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t>日</w:t>
            </w:r>
          </w:p>
        </w:tc>
        <w:tc>
          <w:tcPr>
            <w:tcW w:w="1519" w:type="dxa"/>
            <w:tcBorders>
              <w:top w:val="single" w:color="000000" w:sz="12"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无污渍、无积尘、无蜘蛛网、无垃圾。</w:t>
            </w:r>
          </w:p>
        </w:tc>
        <w:tc>
          <w:tcPr>
            <w:tcW w:w="734" w:type="dxa"/>
            <w:tcBorders>
              <w:top w:val="single" w:color="000000" w:sz="12"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w:t>
            </w:r>
            <w:r>
              <w:rPr>
                <w:rFonts w:hint="eastAsia" w:ascii="宋体" w:hAnsi="宋体"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t>日</w:t>
            </w:r>
          </w:p>
        </w:tc>
        <w:tc>
          <w:tcPr>
            <w:tcW w:w="1561" w:type="dxa"/>
            <w:tcBorders>
              <w:top w:val="single" w:color="000000" w:sz="12"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无污渍、无积尘、无蜘蛛网、无垃圾。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5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楼梯扶手、栏杆</w:t>
            </w:r>
          </w:p>
        </w:tc>
        <w:tc>
          <w:tcPr>
            <w:tcW w:w="74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≥1次/</w:t>
            </w:r>
            <w:r>
              <w:rPr>
                <w:rFonts w:hint="eastAsia" w:ascii="宋体" w:hAnsi="宋体" w:cs="宋体"/>
                <w:i w:val="0"/>
                <w:iCs w:val="0"/>
                <w:color w:val="auto"/>
                <w:kern w:val="0"/>
                <w:sz w:val="18"/>
                <w:szCs w:val="18"/>
                <w:highlight w:val="none"/>
                <w:u w:val="none"/>
                <w:lang w:val="en-US" w:eastAsia="zh-CN" w:bidi="ar"/>
              </w:rPr>
              <w:t>月</w:t>
            </w:r>
          </w:p>
        </w:tc>
        <w:tc>
          <w:tcPr>
            <w:tcW w:w="145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无污渍、无积尘、无蜘蛛网、无胶印。</w:t>
            </w:r>
          </w:p>
        </w:tc>
        <w:tc>
          <w:tcPr>
            <w:tcW w:w="77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≥2次/</w:t>
            </w:r>
            <w:r>
              <w:rPr>
                <w:rFonts w:hint="eastAsia" w:ascii="宋体" w:hAnsi="宋体" w:cs="宋体"/>
                <w:i w:val="0"/>
                <w:iCs w:val="0"/>
                <w:color w:val="auto"/>
                <w:kern w:val="0"/>
                <w:sz w:val="18"/>
                <w:szCs w:val="18"/>
                <w:highlight w:val="none"/>
                <w:u w:val="none"/>
                <w:lang w:val="en-US" w:eastAsia="zh-CN" w:bidi="ar"/>
              </w:rPr>
              <w:t>月</w:t>
            </w:r>
          </w:p>
        </w:tc>
        <w:tc>
          <w:tcPr>
            <w:tcW w:w="151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无污渍、无积尘、无蜘蛛网、无胶印。</w:t>
            </w:r>
          </w:p>
        </w:tc>
        <w:tc>
          <w:tcPr>
            <w:tcW w:w="73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≥1次/</w:t>
            </w:r>
            <w:r>
              <w:rPr>
                <w:rFonts w:hint="eastAsia" w:ascii="宋体" w:hAnsi="宋体" w:cs="宋体"/>
                <w:i w:val="0"/>
                <w:iCs w:val="0"/>
                <w:color w:val="auto"/>
                <w:kern w:val="0"/>
                <w:sz w:val="18"/>
                <w:szCs w:val="18"/>
                <w:highlight w:val="none"/>
                <w:u w:val="none"/>
                <w:lang w:val="en-US" w:eastAsia="zh-CN" w:bidi="ar"/>
              </w:rPr>
              <w:t>月</w:t>
            </w:r>
          </w:p>
        </w:tc>
        <w:tc>
          <w:tcPr>
            <w:tcW w:w="15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无污渍、无积尘、无蜘蛛网、无胶印。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5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开关、桌椅、文件柜及办公电子设备。</w:t>
            </w:r>
          </w:p>
        </w:tc>
        <w:tc>
          <w:tcPr>
            <w:tcW w:w="74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≥1次/日</w:t>
            </w:r>
          </w:p>
        </w:tc>
        <w:tc>
          <w:tcPr>
            <w:tcW w:w="145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无污渍、无积尘、无蜘蛛网、无垃圾。</w:t>
            </w:r>
          </w:p>
        </w:tc>
        <w:tc>
          <w:tcPr>
            <w:tcW w:w="77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≥2次/日</w:t>
            </w:r>
          </w:p>
        </w:tc>
        <w:tc>
          <w:tcPr>
            <w:tcW w:w="151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无污渍、无积尘、无蜘蛛网、无垃圾。</w:t>
            </w:r>
          </w:p>
        </w:tc>
        <w:tc>
          <w:tcPr>
            <w:tcW w:w="73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≥1次/日</w:t>
            </w:r>
          </w:p>
        </w:tc>
        <w:tc>
          <w:tcPr>
            <w:tcW w:w="15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无污渍、无积尘、无蜘蛛网、无垃圾。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窗帘</w:t>
            </w:r>
          </w:p>
        </w:tc>
        <w:tc>
          <w:tcPr>
            <w:tcW w:w="74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≥1次/年</w:t>
            </w:r>
          </w:p>
        </w:tc>
        <w:tc>
          <w:tcPr>
            <w:tcW w:w="145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整洁干净、无污渍、无积尘、无蜘蛛网</w:t>
            </w:r>
          </w:p>
        </w:tc>
        <w:tc>
          <w:tcPr>
            <w:tcW w:w="77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≥1次/年</w:t>
            </w:r>
          </w:p>
        </w:tc>
        <w:tc>
          <w:tcPr>
            <w:tcW w:w="151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整洁干净、无污渍、无积尘、无蜘蛛网</w:t>
            </w:r>
          </w:p>
        </w:tc>
        <w:tc>
          <w:tcPr>
            <w:tcW w:w="73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≥1次/年</w:t>
            </w:r>
          </w:p>
        </w:tc>
        <w:tc>
          <w:tcPr>
            <w:tcW w:w="15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整洁干净、无污渍、无积尘、无蜘蛛网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52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玻璃</w:t>
            </w:r>
          </w:p>
        </w:tc>
        <w:tc>
          <w:tcPr>
            <w:tcW w:w="74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≥1次/季</w:t>
            </w:r>
          </w:p>
        </w:tc>
        <w:tc>
          <w:tcPr>
            <w:tcW w:w="145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整洁干净、无污渍、无积尘、无蜘蛛网、无水印</w:t>
            </w:r>
          </w:p>
        </w:tc>
        <w:tc>
          <w:tcPr>
            <w:tcW w:w="77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≥1次/季</w:t>
            </w:r>
          </w:p>
        </w:tc>
        <w:tc>
          <w:tcPr>
            <w:tcW w:w="151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整洁干净、无污渍、无积尘、无蜘蛛网、无水印</w:t>
            </w:r>
          </w:p>
        </w:tc>
        <w:tc>
          <w:tcPr>
            <w:tcW w:w="73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≥1次/半年</w:t>
            </w:r>
          </w:p>
        </w:tc>
        <w:tc>
          <w:tcPr>
            <w:tcW w:w="15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整洁干净、无污渍、无积尘、无蜘蛛网、无水印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52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灯具</w:t>
            </w:r>
          </w:p>
        </w:tc>
        <w:tc>
          <w:tcPr>
            <w:tcW w:w="74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2米以下：≥1次/月</w:t>
            </w:r>
          </w:p>
        </w:tc>
        <w:tc>
          <w:tcPr>
            <w:tcW w:w="145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无污渍、无积尘、无蜘蛛网</w:t>
            </w:r>
          </w:p>
        </w:tc>
        <w:tc>
          <w:tcPr>
            <w:tcW w:w="77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2米以下：≥1次/半年</w:t>
            </w:r>
          </w:p>
        </w:tc>
        <w:tc>
          <w:tcPr>
            <w:tcW w:w="151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无污渍、无积尘、无蜘蛛网</w:t>
            </w:r>
          </w:p>
        </w:tc>
        <w:tc>
          <w:tcPr>
            <w:tcW w:w="73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2米以下：≥1次/半年</w:t>
            </w:r>
          </w:p>
        </w:tc>
        <w:tc>
          <w:tcPr>
            <w:tcW w:w="156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无污渍、无积尘、无蜘蛛网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52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灯具</w:t>
            </w:r>
          </w:p>
        </w:tc>
        <w:tc>
          <w:tcPr>
            <w:tcW w:w="74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2米以上：≥1次/年</w:t>
            </w:r>
          </w:p>
        </w:tc>
        <w:tc>
          <w:tcPr>
            <w:tcW w:w="145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highlight w:val="none"/>
                <w:u w:val="none"/>
              </w:rPr>
            </w:pPr>
          </w:p>
        </w:tc>
        <w:tc>
          <w:tcPr>
            <w:tcW w:w="77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2米以上：≥1次/2年</w:t>
            </w:r>
          </w:p>
        </w:tc>
        <w:tc>
          <w:tcPr>
            <w:tcW w:w="151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highlight w:val="none"/>
                <w:u w:val="none"/>
              </w:rPr>
            </w:pPr>
          </w:p>
        </w:tc>
        <w:tc>
          <w:tcPr>
            <w:tcW w:w="73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2米以上：≥1次/2年</w:t>
            </w:r>
          </w:p>
        </w:tc>
        <w:tc>
          <w:tcPr>
            <w:tcW w:w="15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highlight w:val="none"/>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5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电梯轿厢地面、轿厢门、面板</w:t>
            </w:r>
          </w:p>
        </w:tc>
        <w:tc>
          <w:tcPr>
            <w:tcW w:w="74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2次</w:t>
            </w:r>
            <w:r>
              <w:rPr>
                <w:rFonts w:hint="eastAsia" w:ascii="宋体" w:hAnsi="宋体" w:eastAsia="宋体" w:cs="宋体"/>
                <w:i w:val="0"/>
                <w:iCs w:val="0"/>
                <w:color w:val="auto"/>
                <w:kern w:val="0"/>
                <w:sz w:val="18"/>
                <w:szCs w:val="18"/>
                <w:highlight w:val="none"/>
                <w:u w:val="none"/>
                <w:lang w:val="en-US" w:eastAsia="zh-CN" w:bidi="ar"/>
              </w:rPr>
              <w:t>/日</w:t>
            </w:r>
          </w:p>
        </w:tc>
        <w:tc>
          <w:tcPr>
            <w:tcW w:w="145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无污迹、无灰尘、无垃圾杂物、无水渍、有光泽、呈本色，电梯轿厢内无异味。</w:t>
            </w:r>
          </w:p>
        </w:tc>
        <w:tc>
          <w:tcPr>
            <w:tcW w:w="77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2次</w:t>
            </w:r>
            <w:r>
              <w:rPr>
                <w:rFonts w:hint="eastAsia" w:ascii="宋体" w:hAnsi="宋体" w:eastAsia="宋体" w:cs="宋体"/>
                <w:i w:val="0"/>
                <w:iCs w:val="0"/>
                <w:color w:val="auto"/>
                <w:kern w:val="0"/>
                <w:sz w:val="18"/>
                <w:szCs w:val="18"/>
                <w:highlight w:val="none"/>
                <w:u w:val="none"/>
                <w:lang w:val="en-US" w:eastAsia="zh-CN" w:bidi="ar"/>
              </w:rPr>
              <w:t>/日</w:t>
            </w:r>
          </w:p>
        </w:tc>
        <w:tc>
          <w:tcPr>
            <w:tcW w:w="151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无污迹、无灰尘、无垃圾杂物、无水渍、有光泽、呈本色，电梯轿厢内无异味。</w:t>
            </w:r>
          </w:p>
        </w:tc>
        <w:tc>
          <w:tcPr>
            <w:tcW w:w="73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2次</w:t>
            </w:r>
            <w:r>
              <w:rPr>
                <w:rFonts w:hint="eastAsia" w:ascii="宋体" w:hAnsi="宋体" w:eastAsia="宋体" w:cs="宋体"/>
                <w:i w:val="0"/>
                <w:iCs w:val="0"/>
                <w:color w:val="auto"/>
                <w:kern w:val="0"/>
                <w:sz w:val="18"/>
                <w:szCs w:val="18"/>
                <w:highlight w:val="none"/>
                <w:u w:val="none"/>
                <w:lang w:val="en-US" w:eastAsia="zh-CN" w:bidi="ar"/>
              </w:rPr>
              <w:t>/日</w:t>
            </w:r>
          </w:p>
        </w:tc>
        <w:tc>
          <w:tcPr>
            <w:tcW w:w="15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无污迹、无灰尘、无垃圾杂物、无水渍、有光泽、呈本色，电梯轿厢内无异味。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5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电梯轿厢天花、出风口、照明设施和门轨</w:t>
            </w:r>
          </w:p>
        </w:tc>
        <w:tc>
          <w:tcPr>
            <w:tcW w:w="74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≥1次/</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月</w:t>
            </w:r>
          </w:p>
        </w:tc>
        <w:tc>
          <w:tcPr>
            <w:tcW w:w="145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无污迹、无灰尘，出风口周边无水渍</w:t>
            </w:r>
          </w:p>
        </w:tc>
        <w:tc>
          <w:tcPr>
            <w:tcW w:w="77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月</w:t>
            </w:r>
          </w:p>
        </w:tc>
        <w:tc>
          <w:tcPr>
            <w:tcW w:w="151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无污迹、无灰尘，出风口周边无水渍</w:t>
            </w:r>
          </w:p>
        </w:tc>
        <w:tc>
          <w:tcPr>
            <w:tcW w:w="73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≥1次/季</w:t>
            </w:r>
          </w:p>
        </w:tc>
        <w:tc>
          <w:tcPr>
            <w:tcW w:w="15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无污迹、无灰尘，出风口周边无水渍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5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公共卫生间的地面、镜面、洗手台、便池</w:t>
            </w:r>
          </w:p>
        </w:tc>
        <w:tc>
          <w:tcPr>
            <w:tcW w:w="74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次/日</w:t>
            </w:r>
          </w:p>
        </w:tc>
        <w:tc>
          <w:tcPr>
            <w:tcW w:w="145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地面、台面无积水，镜面无污渍、无水渍，无异味</w:t>
            </w:r>
          </w:p>
        </w:tc>
        <w:tc>
          <w:tcPr>
            <w:tcW w:w="77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次/日</w:t>
            </w:r>
          </w:p>
        </w:tc>
        <w:tc>
          <w:tcPr>
            <w:tcW w:w="151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地面、台面无积水，镜面无污渍、无水渍，无异味</w:t>
            </w:r>
          </w:p>
        </w:tc>
        <w:tc>
          <w:tcPr>
            <w:tcW w:w="73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≥1次/日</w:t>
            </w:r>
          </w:p>
        </w:tc>
        <w:tc>
          <w:tcPr>
            <w:tcW w:w="15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地面、台面无积水，镜面无污渍、无水渍，无异味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52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地下停车场的地面、沟渠、各类管道、管线和风管等</w:t>
            </w:r>
          </w:p>
        </w:tc>
        <w:tc>
          <w:tcPr>
            <w:tcW w:w="74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w:t>
            </w:r>
            <w:r>
              <w:rPr>
                <w:rFonts w:hint="eastAsia" w:ascii="宋体" w:hAnsi="宋体" w:cs="宋体"/>
                <w:i w:val="0"/>
                <w:iCs w:val="0"/>
                <w:color w:val="auto"/>
                <w:kern w:val="0"/>
                <w:sz w:val="18"/>
                <w:szCs w:val="18"/>
                <w:highlight w:val="none"/>
                <w:u w:val="none"/>
                <w:lang w:val="en-US" w:eastAsia="zh-CN" w:bidi="ar"/>
              </w:rPr>
              <w:t>季</w:t>
            </w:r>
          </w:p>
        </w:tc>
        <w:tc>
          <w:tcPr>
            <w:tcW w:w="145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无杂物、无污迹、无灰尘、无蜘蛛网。</w:t>
            </w:r>
          </w:p>
        </w:tc>
        <w:tc>
          <w:tcPr>
            <w:tcW w:w="77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w:t>
            </w:r>
            <w:r>
              <w:rPr>
                <w:rFonts w:hint="eastAsia" w:ascii="宋体" w:hAnsi="宋体" w:cs="宋体"/>
                <w:i w:val="0"/>
                <w:iCs w:val="0"/>
                <w:color w:val="auto"/>
                <w:kern w:val="0"/>
                <w:sz w:val="18"/>
                <w:szCs w:val="18"/>
                <w:highlight w:val="none"/>
                <w:u w:val="none"/>
                <w:lang w:val="en-US" w:eastAsia="zh-CN" w:bidi="ar"/>
              </w:rPr>
              <w:t>季</w:t>
            </w:r>
          </w:p>
        </w:tc>
        <w:tc>
          <w:tcPr>
            <w:tcW w:w="151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无杂物、无污迹、无灰尘、无蜘蛛网。</w:t>
            </w:r>
          </w:p>
        </w:tc>
        <w:tc>
          <w:tcPr>
            <w:tcW w:w="73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w:t>
            </w:r>
            <w:r>
              <w:rPr>
                <w:rFonts w:hint="eastAsia" w:ascii="宋体" w:hAnsi="宋体" w:cs="宋体"/>
                <w:i w:val="0"/>
                <w:iCs w:val="0"/>
                <w:color w:val="auto"/>
                <w:kern w:val="0"/>
                <w:sz w:val="18"/>
                <w:szCs w:val="18"/>
                <w:highlight w:val="none"/>
                <w:u w:val="none"/>
                <w:lang w:val="en-US" w:eastAsia="zh-CN" w:bidi="ar"/>
              </w:rPr>
              <w:t>季</w:t>
            </w:r>
          </w:p>
        </w:tc>
        <w:tc>
          <w:tcPr>
            <w:tcW w:w="156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无杂物、无污迹、无灰尘、无蜘蛛网。</w:t>
            </w:r>
          </w:p>
        </w:tc>
      </w:tr>
    </w:tbl>
    <w:p>
      <w:pPr>
        <w:rPr>
          <w:color w:val="auto"/>
          <w:highlight w:val="none"/>
        </w:rPr>
      </w:pPr>
    </w:p>
    <w:p>
      <w:pPr>
        <w:rPr>
          <w:color w:val="auto"/>
          <w:highlight w:val="none"/>
        </w:rPr>
      </w:pPr>
    </w:p>
    <w:p>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after="157" w:afterLines="50"/>
        <w:jc w:val="center"/>
        <w:textAlignment w:val="auto"/>
        <w:rPr>
          <w:rFonts w:hint="eastAsia" w:ascii="黑体" w:hAnsi="黑体" w:eastAsia="黑体" w:cs="黑体"/>
          <w:color w:val="auto"/>
          <w:sz w:val="21"/>
          <w:highlight w:val="none"/>
          <w:lang w:val="en-US" w:eastAsia="zh-CN" w:bidi="ar-SA"/>
        </w:rPr>
      </w:pPr>
    </w:p>
    <w:p>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after="157" w:afterLines="50"/>
        <w:ind w:firstLine="0" w:firstLineChars="0"/>
        <w:jc w:val="center"/>
        <w:textAlignment w:val="auto"/>
        <w:rPr>
          <w:rFonts w:hint="default" w:ascii="宋体" w:hAnsi="宋体" w:eastAsia="宋体" w:cs="宋体"/>
          <w:color w:val="auto"/>
          <w:sz w:val="21"/>
          <w:highlight w:val="none"/>
          <w:lang w:val="en-US" w:eastAsia="zh-CN" w:bidi="ar-SA"/>
        </w:rPr>
      </w:pPr>
      <w:r>
        <w:rPr>
          <w:rFonts w:hint="eastAsia" w:ascii="宋体" w:hAnsi="宋体" w:eastAsia="宋体" w:cs="宋体"/>
          <w:color w:val="auto"/>
          <w:sz w:val="21"/>
          <w:highlight w:val="none"/>
          <w:lang w:val="en-US" w:eastAsia="zh-CN" w:bidi="ar-SA"/>
        </w:rPr>
        <w:t>续表F.1</w:t>
      </w:r>
    </w:p>
    <w:tbl>
      <w:tblPr>
        <w:tblStyle w:val="38"/>
        <w:tblW w:w="487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840"/>
        <w:gridCol w:w="1630"/>
        <w:gridCol w:w="869"/>
        <w:gridCol w:w="1703"/>
        <w:gridCol w:w="823"/>
        <w:gridCol w:w="17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52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服务项目</w:t>
            </w:r>
          </w:p>
        </w:tc>
        <w:tc>
          <w:tcPr>
            <w:tcW w:w="2197" w:type="dxa"/>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电力调度大楼</w:t>
            </w:r>
          </w:p>
        </w:tc>
        <w:tc>
          <w:tcPr>
            <w:tcW w:w="2288" w:type="dxa"/>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发电厂</w:t>
            </w:r>
          </w:p>
        </w:tc>
        <w:tc>
          <w:tcPr>
            <w:tcW w:w="2290" w:type="dxa"/>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换流站、变电站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523" w:type="dxa"/>
            <w:vMerge w:val="continue"/>
            <w:tcBorders>
              <w:bottom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47" w:type="dxa"/>
            <w:tcBorders>
              <w:bottom w:val="single" w:color="000000" w:sz="12"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频次</w:t>
            </w:r>
          </w:p>
        </w:tc>
        <w:tc>
          <w:tcPr>
            <w:tcW w:w="1450" w:type="dxa"/>
            <w:tcBorders>
              <w:bottom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服务标准</w:t>
            </w:r>
          </w:p>
        </w:tc>
        <w:tc>
          <w:tcPr>
            <w:tcW w:w="773" w:type="dxa"/>
            <w:tcBorders>
              <w:bottom w:val="single" w:color="000000" w:sz="12"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频次</w:t>
            </w:r>
          </w:p>
        </w:tc>
        <w:tc>
          <w:tcPr>
            <w:tcW w:w="1515" w:type="dxa"/>
            <w:tcBorders>
              <w:bottom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服务标准</w:t>
            </w:r>
          </w:p>
        </w:tc>
        <w:tc>
          <w:tcPr>
            <w:tcW w:w="732" w:type="dxa"/>
            <w:tcBorders>
              <w:bottom w:val="single" w:color="000000" w:sz="12"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频次</w:t>
            </w:r>
          </w:p>
        </w:tc>
        <w:tc>
          <w:tcPr>
            <w:tcW w:w="1558" w:type="dxa"/>
            <w:tcBorders>
              <w:bottom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服务标准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523" w:type="dxa"/>
            <w:tcBorders>
              <w:top w:val="single" w:color="000000" w:sz="12"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地下停车场的标识标牌、道闸</w:t>
            </w:r>
          </w:p>
        </w:tc>
        <w:tc>
          <w:tcPr>
            <w:tcW w:w="747" w:type="dxa"/>
            <w:tcBorders>
              <w:top w:val="single" w:color="000000" w:sz="12" w:space="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≥1次/</w:t>
            </w:r>
            <w:r>
              <w:rPr>
                <w:rFonts w:hint="eastAsia" w:ascii="宋体" w:hAnsi="宋体" w:cs="宋体"/>
                <w:i w:val="0"/>
                <w:iCs w:val="0"/>
                <w:color w:val="auto"/>
                <w:kern w:val="0"/>
                <w:sz w:val="18"/>
                <w:szCs w:val="18"/>
                <w:highlight w:val="none"/>
                <w:u w:val="none"/>
                <w:lang w:val="en-US" w:eastAsia="zh-CN" w:bidi="ar"/>
              </w:rPr>
              <w:t>周</w:t>
            </w:r>
          </w:p>
        </w:tc>
        <w:tc>
          <w:tcPr>
            <w:tcW w:w="1450" w:type="dxa"/>
            <w:tcBorders>
              <w:top w:val="single" w:color="000000" w:sz="12"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无杂物、无污迹、无灰尘、无蜘蛛网。</w:t>
            </w:r>
          </w:p>
        </w:tc>
        <w:tc>
          <w:tcPr>
            <w:tcW w:w="773" w:type="dxa"/>
            <w:tcBorders>
              <w:top w:val="single" w:color="000000" w:sz="12" w:space="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≥1次/2</w:t>
            </w:r>
            <w:r>
              <w:rPr>
                <w:rFonts w:hint="eastAsia" w:ascii="宋体" w:hAnsi="宋体" w:cs="宋体"/>
                <w:i w:val="0"/>
                <w:iCs w:val="0"/>
                <w:color w:val="auto"/>
                <w:kern w:val="0"/>
                <w:sz w:val="18"/>
                <w:szCs w:val="18"/>
                <w:highlight w:val="none"/>
                <w:u w:val="none"/>
                <w:lang w:val="en-US" w:eastAsia="zh-CN" w:bidi="ar"/>
              </w:rPr>
              <w:t>周</w:t>
            </w:r>
          </w:p>
        </w:tc>
        <w:tc>
          <w:tcPr>
            <w:tcW w:w="1515" w:type="dxa"/>
            <w:tcBorders>
              <w:top w:val="single" w:color="000000" w:sz="12"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无杂物、无污迹、无灰尘、无蜘蛛网。</w:t>
            </w:r>
          </w:p>
        </w:tc>
        <w:tc>
          <w:tcPr>
            <w:tcW w:w="732" w:type="dxa"/>
            <w:tcBorders>
              <w:top w:val="single" w:color="000000" w:sz="12" w:space="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≥1次/周</w:t>
            </w:r>
          </w:p>
        </w:tc>
        <w:tc>
          <w:tcPr>
            <w:tcW w:w="1558" w:type="dxa"/>
            <w:tcBorders>
              <w:top w:val="single" w:color="000000" w:sz="12"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无杂物、无污迹、无灰尘、无蜘蛛网。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523"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建筑物外墙</w:t>
            </w:r>
          </w:p>
        </w:tc>
        <w:tc>
          <w:tcPr>
            <w:tcW w:w="74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按合同约定</w:t>
            </w:r>
          </w:p>
        </w:tc>
        <w:tc>
          <w:tcPr>
            <w:tcW w:w="14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无污垢</w:t>
            </w:r>
          </w:p>
        </w:tc>
        <w:tc>
          <w:tcPr>
            <w:tcW w:w="773"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按合同约定</w:t>
            </w:r>
          </w:p>
        </w:tc>
        <w:tc>
          <w:tcPr>
            <w:tcW w:w="151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无污垢</w:t>
            </w:r>
          </w:p>
        </w:tc>
        <w:tc>
          <w:tcPr>
            <w:tcW w:w="73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按合同约定</w:t>
            </w:r>
          </w:p>
        </w:tc>
        <w:tc>
          <w:tcPr>
            <w:tcW w:w="155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无污垢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523"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大理石（石材晶面处理）</w:t>
            </w:r>
          </w:p>
        </w:tc>
        <w:tc>
          <w:tcPr>
            <w:tcW w:w="74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≥1次/季</w:t>
            </w:r>
          </w:p>
        </w:tc>
        <w:tc>
          <w:tcPr>
            <w:tcW w:w="14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表面光洁</w:t>
            </w:r>
          </w:p>
        </w:tc>
        <w:tc>
          <w:tcPr>
            <w:tcW w:w="773"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≥1次/季</w:t>
            </w:r>
          </w:p>
        </w:tc>
        <w:tc>
          <w:tcPr>
            <w:tcW w:w="151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表面光洁</w:t>
            </w:r>
          </w:p>
        </w:tc>
        <w:tc>
          <w:tcPr>
            <w:tcW w:w="73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cs="宋体"/>
                <w:color w:val="auto"/>
                <w:kern w:val="0"/>
                <w:sz w:val="18"/>
                <w:szCs w:val="18"/>
                <w:highlight w:val="none"/>
                <w:lang w:bidi="ar"/>
              </w:rPr>
              <w:t>按合同约定</w:t>
            </w:r>
          </w:p>
        </w:tc>
        <w:tc>
          <w:tcPr>
            <w:tcW w:w="155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表面光洁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23"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地毯</w:t>
            </w:r>
          </w:p>
        </w:tc>
        <w:tc>
          <w:tcPr>
            <w:tcW w:w="74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≥1次/季</w:t>
            </w:r>
          </w:p>
        </w:tc>
        <w:tc>
          <w:tcPr>
            <w:tcW w:w="145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无积尘、无污渍</w:t>
            </w:r>
          </w:p>
        </w:tc>
        <w:tc>
          <w:tcPr>
            <w:tcW w:w="773"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≥1次/季</w:t>
            </w:r>
          </w:p>
        </w:tc>
        <w:tc>
          <w:tcPr>
            <w:tcW w:w="151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无积尘、无污渍</w:t>
            </w:r>
          </w:p>
        </w:tc>
        <w:tc>
          <w:tcPr>
            <w:tcW w:w="732"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≥1次/季</w:t>
            </w:r>
          </w:p>
        </w:tc>
        <w:tc>
          <w:tcPr>
            <w:tcW w:w="155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无积尘、无污渍</w:t>
            </w:r>
          </w:p>
        </w:tc>
      </w:tr>
    </w:tbl>
    <w:p>
      <w:pPr>
        <w:pStyle w:val="20"/>
        <w:rPr>
          <w:rFonts w:hint="eastAsia"/>
          <w:color w:val="auto"/>
          <w:highlight w:val="none"/>
          <w:lang w:val="en-US" w:eastAsia="zh-CN"/>
        </w:rPr>
      </w:pPr>
    </w:p>
    <w:p>
      <w:pPr>
        <w:spacing w:before="0" w:after="283"/>
        <w:jc w:val="center"/>
        <w:rPr>
          <w:rFonts w:hint="eastAsia" w:ascii="黑体" w:hAnsi="黑体" w:eastAsia="黑体" w:cs="黑体"/>
          <w:color w:val="auto"/>
          <w:highlight w:val="none"/>
          <w:lang w:val="en-US" w:eastAsia="zh-CN"/>
        </w:rPr>
      </w:pPr>
    </w:p>
    <w:p>
      <w:pPr>
        <w:spacing w:before="0" w:after="283"/>
        <w:jc w:val="center"/>
        <w:rPr>
          <w:rFonts w:hint="eastAsia" w:ascii="黑体" w:hAnsi="黑体" w:eastAsia="黑体" w:cs="黑体"/>
          <w:color w:val="auto"/>
          <w:highlight w:val="none"/>
          <w:lang w:val="en-US" w:eastAsia="zh-CN"/>
        </w:rPr>
      </w:pPr>
    </w:p>
    <w:p>
      <w:pPr>
        <w:spacing w:before="0" w:after="283"/>
        <w:jc w:val="center"/>
        <w:rPr>
          <w:rFonts w:hint="eastAsia" w:ascii="黑体" w:hAnsi="黑体" w:eastAsia="黑体" w:cs="黑体"/>
          <w:color w:val="auto"/>
          <w:highlight w:val="none"/>
          <w:lang w:val="en-US" w:eastAsia="zh-CN"/>
        </w:rPr>
      </w:pPr>
    </w:p>
    <w:p>
      <w:pPr>
        <w:spacing w:before="0" w:after="283"/>
        <w:jc w:val="center"/>
        <w:rPr>
          <w:rFonts w:hint="eastAsia" w:ascii="黑体" w:hAnsi="黑体" w:eastAsia="黑体" w:cs="黑体"/>
          <w:color w:val="auto"/>
          <w:highlight w:val="none"/>
          <w:lang w:val="en-US" w:eastAsia="zh-CN"/>
        </w:rPr>
      </w:pPr>
    </w:p>
    <w:p>
      <w:pPr>
        <w:spacing w:before="0" w:after="283"/>
        <w:jc w:val="center"/>
        <w:rPr>
          <w:rFonts w:hint="eastAsia" w:ascii="黑体" w:hAnsi="黑体" w:eastAsia="黑体" w:cs="黑体"/>
          <w:color w:val="auto"/>
          <w:highlight w:val="none"/>
          <w:lang w:val="en-US" w:eastAsia="zh-CN"/>
        </w:rPr>
      </w:pPr>
    </w:p>
    <w:p>
      <w:pPr>
        <w:spacing w:before="0" w:after="283"/>
        <w:jc w:val="center"/>
        <w:rPr>
          <w:rFonts w:hint="eastAsia" w:ascii="黑体" w:hAnsi="黑体" w:eastAsia="黑体" w:cs="黑体"/>
          <w:color w:val="auto"/>
          <w:highlight w:val="none"/>
          <w:lang w:val="en-US" w:eastAsia="zh-CN"/>
        </w:rPr>
      </w:pPr>
    </w:p>
    <w:p>
      <w:pPr>
        <w:spacing w:before="0" w:after="283"/>
        <w:jc w:val="center"/>
        <w:rPr>
          <w:rFonts w:hint="eastAsia" w:ascii="黑体" w:hAnsi="黑体" w:eastAsia="黑体" w:cs="黑体"/>
          <w:color w:val="auto"/>
          <w:highlight w:val="none"/>
          <w:lang w:val="en-US" w:eastAsia="zh-CN"/>
        </w:rPr>
      </w:pPr>
    </w:p>
    <w:p>
      <w:pPr>
        <w:spacing w:before="0" w:after="283"/>
        <w:jc w:val="center"/>
        <w:rPr>
          <w:rFonts w:hint="eastAsia" w:ascii="黑体" w:hAnsi="黑体" w:eastAsia="黑体" w:cs="黑体"/>
          <w:color w:val="auto"/>
          <w:highlight w:val="none"/>
          <w:lang w:val="en-US" w:eastAsia="zh-CN"/>
        </w:rPr>
      </w:pPr>
    </w:p>
    <w:p>
      <w:pPr>
        <w:spacing w:before="0" w:after="283"/>
        <w:jc w:val="center"/>
        <w:rPr>
          <w:rFonts w:hint="eastAsia" w:ascii="黑体" w:hAnsi="黑体" w:eastAsia="黑体" w:cs="黑体"/>
          <w:color w:val="auto"/>
          <w:highlight w:val="none"/>
          <w:lang w:val="en-US" w:eastAsia="zh-CN"/>
        </w:rPr>
      </w:pPr>
    </w:p>
    <w:p>
      <w:pPr>
        <w:spacing w:before="0" w:after="283"/>
        <w:jc w:val="center"/>
        <w:rPr>
          <w:rFonts w:hint="eastAsia" w:ascii="黑体" w:hAnsi="黑体" w:eastAsia="黑体" w:cs="黑体"/>
          <w:color w:val="auto"/>
          <w:highlight w:val="none"/>
          <w:lang w:val="en-US" w:eastAsia="zh-CN"/>
        </w:rPr>
      </w:pPr>
    </w:p>
    <w:p>
      <w:pPr>
        <w:spacing w:before="0" w:after="283"/>
        <w:jc w:val="center"/>
        <w:rPr>
          <w:rFonts w:hint="eastAsia" w:ascii="黑体" w:hAnsi="黑体" w:eastAsia="黑体" w:cs="黑体"/>
          <w:color w:val="auto"/>
          <w:highlight w:val="none"/>
          <w:lang w:val="en-US" w:eastAsia="zh-CN"/>
        </w:rPr>
      </w:pPr>
    </w:p>
    <w:p>
      <w:pPr>
        <w:spacing w:before="0" w:after="283"/>
        <w:jc w:val="center"/>
        <w:rPr>
          <w:rFonts w:hint="eastAsia" w:ascii="黑体" w:hAnsi="黑体" w:eastAsia="黑体" w:cs="黑体"/>
          <w:color w:val="auto"/>
          <w:highlight w:val="none"/>
          <w:lang w:val="en-US" w:eastAsia="zh-CN"/>
        </w:rPr>
      </w:pPr>
    </w:p>
    <w:p>
      <w:pPr>
        <w:spacing w:before="0" w:after="283"/>
        <w:jc w:val="center"/>
        <w:rPr>
          <w:rFonts w:hint="eastAsia" w:ascii="黑体" w:hAnsi="黑体" w:eastAsia="黑体" w:cs="黑体"/>
          <w:color w:val="auto"/>
          <w:highlight w:val="none"/>
          <w:lang w:val="en-US" w:eastAsia="zh-CN"/>
        </w:rPr>
      </w:pPr>
    </w:p>
    <w:p>
      <w:pPr>
        <w:spacing w:before="0" w:after="283"/>
        <w:jc w:val="center"/>
        <w:rPr>
          <w:rFonts w:hint="eastAsia" w:ascii="黑体" w:hAnsi="黑体" w:eastAsia="黑体" w:cs="黑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850"/>
        <w:jc w:val="both"/>
        <w:textAlignment w:val="auto"/>
        <w:rPr>
          <w:rFonts w:hint="eastAsia" w:ascii="黑体" w:hAnsi="黑体" w:eastAsia="黑体" w:cs="黑体"/>
          <w:color w:val="auto"/>
          <w:highlight w:val="none"/>
        </w:rPr>
      </w:pPr>
    </w:p>
    <w:p>
      <w:pPr>
        <w:spacing w:after="312" w:afterLines="100"/>
        <w:jc w:val="center"/>
        <w:outlineLvl w:val="0"/>
        <w:rPr>
          <w:rFonts w:hint="eastAsia" w:ascii="Times New Roman" w:hAnsi="Times New Roman" w:eastAsia="宋体" w:cs="Times New Roman"/>
          <w:sz w:val="36"/>
          <w:szCs w:val="36"/>
          <w:highlight w:val="none"/>
          <w:lang w:val="en-US" w:eastAsia="zh-CN"/>
        </w:rPr>
      </w:pPr>
      <w:bookmarkStart w:id="386" w:name="_Toc31127"/>
      <w:r>
        <w:rPr>
          <w:rFonts w:hint="eastAsia" w:ascii="Times New Roman" w:hAnsi="Times New Roman" w:eastAsia="宋体" w:cs="Times New Roman"/>
          <w:sz w:val="36"/>
          <w:szCs w:val="36"/>
          <w:highlight w:val="none"/>
        </w:rPr>
        <w:t>附录</w:t>
      </w:r>
      <w:r>
        <w:rPr>
          <w:rFonts w:hint="eastAsia" w:ascii="Times New Roman" w:hAnsi="Times New Roman" w:eastAsia="宋体" w:cs="Times New Roman"/>
          <w:sz w:val="36"/>
          <w:szCs w:val="36"/>
          <w:highlight w:val="none"/>
          <w:lang w:val="en-US" w:eastAsia="zh-CN"/>
        </w:rPr>
        <w:t xml:space="preserve">G   </w:t>
      </w:r>
      <w:r>
        <w:rPr>
          <w:rFonts w:hint="eastAsia" w:ascii="Times New Roman" w:hAnsi="Times New Roman" w:eastAsia="宋体" w:cs="Times New Roman"/>
          <w:sz w:val="36"/>
          <w:szCs w:val="36"/>
          <w:highlight w:val="none"/>
          <w:lang w:val="zh-CN" w:eastAsia="zh-CN"/>
        </w:rPr>
        <w:t>建筑物</w:t>
      </w:r>
      <w:r>
        <w:rPr>
          <w:rFonts w:hint="eastAsia" w:ascii="Times New Roman" w:hAnsi="Times New Roman" w:eastAsia="宋体" w:cs="Times New Roman"/>
          <w:sz w:val="36"/>
          <w:szCs w:val="36"/>
          <w:highlight w:val="none"/>
          <w:lang w:val="en-US" w:eastAsia="zh-CN"/>
        </w:rPr>
        <w:t>外</w:t>
      </w:r>
      <w:r>
        <w:rPr>
          <w:rFonts w:hint="eastAsia" w:ascii="Times New Roman" w:hAnsi="Times New Roman" w:eastAsia="宋体" w:cs="Times New Roman"/>
          <w:sz w:val="36"/>
          <w:szCs w:val="36"/>
          <w:highlight w:val="none"/>
          <w:lang w:val="zh-CN" w:eastAsia="zh-CN"/>
        </w:rPr>
        <w:t>公共区域保洁服务标准</w:t>
      </w:r>
      <w:bookmarkEnd w:id="386"/>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kern w:val="0"/>
          <w:sz w:val="21"/>
          <w:szCs w:val="20"/>
          <w:highlight w:val="none"/>
          <w:lang w:val="en-US" w:eastAsia="zh-CN" w:bidi="ar-SA"/>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kern w:val="0"/>
          <w:sz w:val="21"/>
          <w:szCs w:val="20"/>
          <w:highlight w:val="none"/>
          <w:lang w:val="en-US" w:eastAsia="zh-CN" w:bidi="ar-SA"/>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kern w:val="0"/>
          <w:sz w:val="21"/>
          <w:szCs w:val="20"/>
          <w:highlight w:val="none"/>
          <w:lang w:val="en-US" w:eastAsia="zh-CN" w:bidi="ar-SA"/>
        </w:rPr>
      </w:pPr>
      <w:r>
        <w:rPr>
          <w:rFonts w:hint="eastAsia" w:ascii="宋体" w:hAnsi="宋体" w:eastAsia="宋体" w:cs="宋体"/>
          <w:color w:val="auto"/>
          <w:kern w:val="0"/>
          <w:sz w:val="21"/>
          <w:szCs w:val="20"/>
          <w:highlight w:val="none"/>
          <w:lang w:val="en-US" w:eastAsia="zh-CN" w:bidi="ar-SA"/>
        </w:rPr>
        <w:t>项目主要分类的建筑物外公共区域保洁服务标准见表G.1。</w:t>
      </w:r>
    </w:p>
    <w:p>
      <w:pPr>
        <w:pStyle w:val="20"/>
        <w:keepNext w:val="0"/>
        <w:keepLines w:val="0"/>
        <w:pageBreakBefore w:val="0"/>
        <w:widowControl w:val="0"/>
        <w:kinsoku/>
        <w:wordWrap/>
        <w:overflowPunct/>
        <w:topLinePunct w:val="0"/>
        <w:autoSpaceDE/>
        <w:autoSpaceDN/>
        <w:bidi w:val="0"/>
        <w:adjustRightInd/>
        <w:snapToGrid/>
        <w:spacing w:before="157" w:beforeLines="50" w:after="10"/>
        <w:jc w:val="center"/>
        <w:textAlignment w:val="auto"/>
        <w:rPr>
          <w:rFonts w:hint="eastAsia" w:ascii="黑体" w:hAnsi="黑体" w:eastAsia="黑体" w:cs="黑体"/>
          <w:color w:val="auto"/>
          <w:highlight w:val="none"/>
          <w:lang w:val="en-US" w:eastAsia="zh-CN"/>
        </w:rPr>
      </w:pPr>
      <w:r>
        <w:rPr>
          <w:rFonts w:hint="eastAsia" w:ascii="黑体" w:hAnsi="黑体" w:eastAsia="黑体" w:cs="黑体"/>
          <w:color w:val="auto"/>
          <w:kern w:val="0"/>
          <w:sz w:val="21"/>
          <w:szCs w:val="20"/>
          <w:highlight w:val="none"/>
          <w:lang w:val="en-US" w:eastAsia="zh-CN" w:bidi="ar-SA"/>
        </w:rPr>
        <w:t>表G.1  建筑物外公共区域保洁服务标准</w:t>
      </w:r>
    </w:p>
    <w:tbl>
      <w:tblPr>
        <w:tblStyle w:val="38"/>
        <w:tblW w:w="488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316"/>
        <w:gridCol w:w="1693"/>
        <w:gridCol w:w="1241"/>
        <w:gridCol w:w="1184"/>
        <w:gridCol w:w="1244"/>
        <w:gridCol w:w="14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17"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服务项目</w:t>
            </w:r>
          </w:p>
        </w:tc>
        <w:tc>
          <w:tcPr>
            <w:tcW w:w="2678" w:type="dxa"/>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电力调度大楼</w:t>
            </w:r>
          </w:p>
        </w:tc>
        <w:tc>
          <w:tcPr>
            <w:tcW w:w="2158" w:type="dxa"/>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发电厂</w:t>
            </w:r>
          </w:p>
        </w:tc>
        <w:tc>
          <w:tcPr>
            <w:tcW w:w="2365" w:type="dxa"/>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换流站、变电站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117" w:type="dxa"/>
            <w:vMerge w:val="continue"/>
            <w:tcBorders>
              <w:bottom w:val="single" w:color="000000" w:sz="12"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highlight w:val="none"/>
                <w:u w:val="none"/>
              </w:rPr>
            </w:pPr>
          </w:p>
        </w:tc>
        <w:tc>
          <w:tcPr>
            <w:tcW w:w="1171" w:type="dxa"/>
            <w:tcBorders>
              <w:bottom w:val="single" w:color="000000" w:sz="12"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频次</w:t>
            </w:r>
          </w:p>
        </w:tc>
        <w:tc>
          <w:tcPr>
            <w:tcW w:w="1507" w:type="dxa"/>
            <w:tcBorders>
              <w:bottom w:val="single" w:color="000000" w:sz="12"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服务标准</w:t>
            </w:r>
          </w:p>
        </w:tc>
        <w:tc>
          <w:tcPr>
            <w:tcW w:w="1104" w:type="dxa"/>
            <w:tcBorders>
              <w:bottom w:val="single" w:color="000000" w:sz="12"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频次</w:t>
            </w:r>
          </w:p>
        </w:tc>
        <w:tc>
          <w:tcPr>
            <w:tcW w:w="1054" w:type="dxa"/>
            <w:tcBorders>
              <w:bottom w:val="single" w:color="000000" w:sz="12"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服务标准</w:t>
            </w:r>
          </w:p>
        </w:tc>
        <w:tc>
          <w:tcPr>
            <w:tcW w:w="1107" w:type="dxa"/>
            <w:tcBorders>
              <w:bottom w:val="single" w:color="000000" w:sz="12"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频次</w:t>
            </w:r>
          </w:p>
        </w:tc>
        <w:tc>
          <w:tcPr>
            <w:tcW w:w="1258" w:type="dxa"/>
            <w:tcBorders>
              <w:bottom w:val="single" w:color="000000" w:sz="12"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117" w:type="dxa"/>
            <w:tcBorders>
              <w:top w:val="single" w:color="000000" w:sz="12"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天面、屋顶</w:t>
            </w:r>
          </w:p>
        </w:tc>
        <w:tc>
          <w:tcPr>
            <w:tcW w:w="1171" w:type="dxa"/>
            <w:tcBorders>
              <w:top w:val="single" w:color="000000" w:sz="12" w:space="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≥1次/月</w:t>
            </w:r>
          </w:p>
        </w:tc>
        <w:tc>
          <w:tcPr>
            <w:tcW w:w="1507" w:type="dxa"/>
            <w:tcBorders>
              <w:top w:val="single" w:color="000000" w:sz="12"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无杂物堆放、无垃圾</w:t>
            </w:r>
          </w:p>
        </w:tc>
        <w:tc>
          <w:tcPr>
            <w:tcW w:w="1104" w:type="dxa"/>
            <w:tcBorders>
              <w:top w:val="single" w:color="000000" w:sz="12" w:space="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≥1次/月</w:t>
            </w:r>
          </w:p>
        </w:tc>
        <w:tc>
          <w:tcPr>
            <w:tcW w:w="1054" w:type="dxa"/>
            <w:tcBorders>
              <w:top w:val="single" w:color="000000" w:sz="12"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无杂物堆放、无垃圾</w:t>
            </w:r>
          </w:p>
        </w:tc>
        <w:tc>
          <w:tcPr>
            <w:tcW w:w="1107" w:type="dxa"/>
            <w:tcBorders>
              <w:top w:val="single" w:color="000000" w:sz="12" w:space="0"/>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≥1次/月</w:t>
            </w:r>
          </w:p>
        </w:tc>
        <w:tc>
          <w:tcPr>
            <w:tcW w:w="1258" w:type="dxa"/>
            <w:tcBorders>
              <w:top w:val="single" w:color="000000" w:sz="12"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无杂物堆放、无垃圾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1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平台</w:t>
            </w:r>
          </w:p>
        </w:tc>
        <w:tc>
          <w:tcPr>
            <w:tcW w:w="11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≥1次/周</w:t>
            </w:r>
          </w:p>
        </w:tc>
        <w:tc>
          <w:tcPr>
            <w:tcW w:w="15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无杂物堆放、无垃圾无青苔</w:t>
            </w:r>
          </w:p>
        </w:tc>
        <w:tc>
          <w:tcPr>
            <w:tcW w:w="110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≥1次/周</w:t>
            </w:r>
          </w:p>
        </w:tc>
        <w:tc>
          <w:tcPr>
            <w:tcW w:w="105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无杂物堆放、无垃圾、无青苔</w:t>
            </w:r>
          </w:p>
        </w:tc>
        <w:tc>
          <w:tcPr>
            <w:tcW w:w="110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≥1次/周</w:t>
            </w:r>
          </w:p>
        </w:tc>
        <w:tc>
          <w:tcPr>
            <w:tcW w:w="12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无杂物堆放、无垃圾、无青苔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11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道路、广场</w:t>
            </w:r>
          </w:p>
        </w:tc>
        <w:tc>
          <w:tcPr>
            <w:tcW w:w="11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2次/日</w:t>
            </w:r>
          </w:p>
        </w:tc>
        <w:tc>
          <w:tcPr>
            <w:tcW w:w="15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无积水、无垃圾杂物、无污渍</w:t>
            </w:r>
          </w:p>
        </w:tc>
        <w:tc>
          <w:tcPr>
            <w:tcW w:w="110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≥1次/日</w:t>
            </w:r>
          </w:p>
        </w:tc>
        <w:tc>
          <w:tcPr>
            <w:tcW w:w="105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无积水、无垃圾杂物、无污渍</w:t>
            </w:r>
          </w:p>
        </w:tc>
        <w:tc>
          <w:tcPr>
            <w:tcW w:w="110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≥1次/周</w:t>
            </w:r>
          </w:p>
        </w:tc>
        <w:tc>
          <w:tcPr>
            <w:tcW w:w="12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无积水、无垃圾杂物、无污渍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门头</w:t>
            </w:r>
          </w:p>
        </w:tc>
        <w:tc>
          <w:tcPr>
            <w:tcW w:w="11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≥1次/年</w:t>
            </w:r>
          </w:p>
        </w:tc>
        <w:tc>
          <w:tcPr>
            <w:tcW w:w="15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无污渍、无蜘蛛网</w:t>
            </w:r>
          </w:p>
        </w:tc>
        <w:tc>
          <w:tcPr>
            <w:tcW w:w="110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≥1次/年</w:t>
            </w:r>
          </w:p>
        </w:tc>
        <w:tc>
          <w:tcPr>
            <w:tcW w:w="105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无污渍、无蜘蛛网</w:t>
            </w:r>
          </w:p>
        </w:tc>
        <w:tc>
          <w:tcPr>
            <w:tcW w:w="110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≥1次/年</w:t>
            </w:r>
          </w:p>
        </w:tc>
        <w:tc>
          <w:tcPr>
            <w:tcW w:w="12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无污渍、无蜘蛛网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1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雨棚</w:t>
            </w:r>
          </w:p>
        </w:tc>
        <w:tc>
          <w:tcPr>
            <w:tcW w:w="11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≥1次/年</w:t>
            </w:r>
          </w:p>
        </w:tc>
        <w:tc>
          <w:tcPr>
            <w:tcW w:w="15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无垃圾杂物、无污渍</w:t>
            </w:r>
          </w:p>
        </w:tc>
        <w:tc>
          <w:tcPr>
            <w:tcW w:w="110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≥1次/半年</w:t>
            </w:r>
          </w:p>
        </w:tc>
        <w:tc>
          <w:tcPr>
            <w:tcW w:w="105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无垃圾杂物、无污渍</w:t>
            </w:r>
          </w:p>
        </w:tc>
        <w:tc>
          <w:tcPr>
            <w:tcW w:w="110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≥1次/半年</w:t>
            </w:r>
          </w:p>
        </w:tc>
        <w:tc>
          <w:tcPr>
            <w:tcW w:w="12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无垃圾杂物、无污渍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111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宣传栏、健身设施及其它共用设施</w:t>
            </w:r>
          </w:p>
        </w:tc>
        <w:tc>
          <w:tcPr>
            <w:tcW w:w="117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≥1次/月；消毒≥1次/月，病菌高发期≥1次/周</w:t>
            </w:r>
          </w:p>
        </w:tc>
        <w:tc>
          <w:tcPr>
            <w:tcW w:w="15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无积尘、无污渍</w:t>
            </w:r>
          </w:p>
        </w:tc>
        <w:tc>
          <w:tcPr>
            <w:tcW w:w="11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≥1次/月；消毒≥1次/月，病菌高发期≥1次/周</w:t>
            </w:r>
          </w:p>
        </w:tc>
        <w:tc>
          <w:tcPr>
            <w:tcW w:w="105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无积尘、无污渍</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≥1次/月；消毒≥1次/月，病菌高发期≥1次/周</w:t>
            </w:r>
          </w:p>
        </w:tc>
        <w:tc>
          <w:tcPr>
            <w:tcW w:w="12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无积尘、无污渍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117"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户外公共灯具</w:t>
            </w:r>
          </w:p>
        </w:tc>
        <w:tc>
          <w:tcPr>
            <w:tcW w:w="117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3米以上，≥1次/年</w:t>
            </w:r>
          </w:p>
        </w:tc>
        <w:tc>
          <w:tcPr>
            <w:tcW w:w="15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无污渍、无蚊虫堆积</w:t>
            </w:r>
          </w:p>
        </w:tc>
        <w:tc>
          <w:tcPr>
            <w:tcW w:w="11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3米以上，≥1次/年</w:t>
            </w:r>
          </w:p>
        </w:tc>
        <w:tc>
          <w:tcPr>
            <w:tcW w:w="105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无污渍、无蚊虫堆积</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3米以上，≥1次/年</w:t>
            </w:r>
          </w:p>
        </w:tc>
        <w:tc>
          <w:tcPr>
            <w:tcW w:w="12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无污渍、无蚊虫堆积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11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7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3米以下，≥1次/半年</w:t>
            </w:r>
          </w:p>
        </w:tc>
        <w:tc>
          <w:tcPr>
            <w:tcW w:w="15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无污渍、无蚊虫堆积</w:t>
            </w:r>
          </w:p>
        </w:tc>
        <w:tc>
          <w:tcPr>
            <w:tcW w:w="11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3米以下，≥1次/半年</w:t>
            </w:r>
          </w:p>
        </w:tc>
        <w:tc>
          <w:tcPr>
            <w:tcW w:w="105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无污渍、无蚊虫堆积</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3米以下，≥1次/半年</w:t>
            </w:r>
          </w:p>
        </w:tc>
        <w:tc>
          <w:tcPr>
            <w:tcW w:w="12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无污渍、无蚊虫堆积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1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标识标牌</w:t>
            </w:r>
          </w:p>
        </w:tc>
        <w:tc>
          <w:tcPr>
            <w:tcW w:w="11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≥1次/周</w:t>
            </w:r>
          </w:p>
        </w:tc>
        <w:tc>
          <w:tcPr>
            <w:tcW w:w="15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无积尘、无污渍</w:t>
            </w:r>
          </w:p>
        </w:tc>
        <w:tc>
          <w:tcPr>
            <w:tcW w:w="110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≥2次/月</w:t>
            </w:r>
          </w:p>
        </w:tc>
        <w:tc>
          <w:tcPr>
            <w:tcW w:w="105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无积尘、无污渍</w:t>
            </w:r>
          </w:p>
        </w:tc>
        <w:tc>
          <w:tcPr>
            <w:tcW w:w="110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≥2次/月</w:t>
            </w:r>
          </w:p>
        </w:tc>
        <w:tc>
          <w:tcPr>
            <w:tcW w:w="12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无积尘、无污渍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117"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水景水体</w:t>
            </w:r>
          </w:p>
        </w:tc>
        <w:tc>
          <w:tcPr>
            <w:tcW w:w="117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打捞水面垃圾≥1次/周</w:t>
            </w:r>
          </w:p>
        </w:tc>
        <w:tc>
          <w:tcPr>
            <w:tcW w:w="15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水体清洁、无杂物、无异味</w:t>
            </w:r>
          </w:p>
        </w:tc>
        <w:tc>
          <w:tcPr>
            <w:tcW w:w="11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打捞水面垃圾≥2次/月</w:t>
            </w:r>
          </w:p>
        </w:tc>
        <w:tc>
          <w:tcPr>
            <w:tcW w:w="105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水体清洁、无杂物、无异味</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打捞水面垃圾≥2次/月</w:t>
            </w:r>
          </w:p>
        </w:tc>
        <w:tc>
          <w:tcPr>
            <w:tcW w:w="12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水体清洁、无杂物、无异味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117"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7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池底保洁≥1次/半年</w:t>
            </w:r>
          </w:p>
        </w:tc>
        <w:tc>
          <w:tcPr>
            <w:tcW w:w="15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水体清洁、无杂物、无异味</w:t>
            </w:r>
          </w:p>
        </w:tc>
        <w:tc>
          <w:tcPr>
            <w:tcW w:w="11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池底保洁≥1次/半年</w:t>
            </w:r>
          </w:p>
        </w:tc>
        <w:tc>
          <w:tcPr>
            <w:tcW w:w="105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水体清洁、无杂物、无异味</w:t>
            </w:r>
          </w:p>
        </w:tc>
        <w:tc>
          <w:tcPr>
            <w:tcW w:w="11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池底保洁≥1次/半年</w:t>
            </w:r>
          </w:p>
        </w:tc>
        <w:tc>
          <w:tcPr>
            <w:tcW w:w="12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水体清洁、无杂物、无异味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1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化粪池</w:t>
            </w:r>
          </w:p>
        </w:tc>
        <w:tc>
          <w:tcPr>
            <w:tcW w:w="11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≥1次/年</w:t>
            </w:r>
          </w:p>
        </w:tc>
        <w:tc>
          <w:tcPr>
            <w:tcW w:w="15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w:t>
            </w:r>
            <w:r>
              <w:rPr>
                <w:rFonts w:hint="eastAsia" w:ascii="宋体" w:hAnsi="宋体" w:cs="宋体"/>
                <w:i w:val="0"/>
                <w:iCs w:val="0"/>
                <w:color w:val="auto"/>
                <w:kern w:val="0"/>
                <w:sz w:val="18"/>
                <w:szCs w:val="18"/>
                <w:highlight w:val="none"/>
                <w:u w:val="none"/>
                <w:lang w:val="en-US" w:eastAsia="zh-CN" w:bidi="ar"/>
              </w:rPr>
              <w:t>堵塞</w:t>
            </w:r>
            <w:r>
              <w:rPr>
                <w:rFonts w:hint="eastAsia" w:ascii="宋体" w:hAnsi="宋体" w:eastAsia="宋体" w:cs="宋体"/>
                <w:i w:val="0"/>
                <w:iCs w:val="0"/>
                <w:color w:val="auto"/>
                <w:kern w:val="0"/>
                <w:sz w:val="18"/>
                <w:szCs w:val="18"/>
                <w:highlight w:val="none"/>
                <w:u w:val="none"/>
                <w:lang w:val="en-US" w:eastAsia="zh-CN" w:bidi="ar"/>
              </w:rPr>
              <w:t>、无外溢</w:t>
            </w:r>
          </w:p>
        </w:tc>
        <w:tc>
          <w:tcPr>
            <w:tcW w:w="110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≥1次/年</w:t>
            </w:r>
          </w:p>
        </w:tc>
        <w:tc>
          <w:tcPr>
            <w:tcW w:w="105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w:t>
            </w:r>
            <w:r>
              <w:rPr>
                <w:rFonts w:hint="eastAsia" w:ascii="宋体" w:hAnsi="宋体" w:cs="宋体"/>
                <w:i w:val="0"/>
                <w:iCs w:val="0"/>
                <w:color w:val="auto"/>
                <w:kern w:val="0"/>
                <w:sz w:val="18"/>
                <w:szCs w:val="18"/>
                <w:highlight w:val="none"/>
                <w:u w:val="none"/>
                <w:lang w:val="en-US" w:eastAsia="zh-CN" w:bidi="ar"/>
              </w:rPr>
              <w:t>堵塞</w:t>
            </w:r>
            <w:r>
              <w:rPr>
                <w:rFonts w:hint="eastAsia" w:ascii="宋体" w:hAnsi="宋体" w:eastAsia="宋体" w:cs="宋体"/>
                <w:i w:val="0"/>
                <w:iCs w:val="0"/>
                <w:color w:val="auto"/>
                <w:kern w:val="0"/>
                <w:sz w:val="18"/>
                <w:szCs w:val="18"/>
                <w:highlight w:val="none"/>
                <w:u w:val="none"/>
                <w:lang w:val="en-US" w:eastAsia="zh-CN" w:bidi="ar"/>
              </w:rPr>
              <w:t>、无外溢</w:t>
            </w:r>
          </w:p>
        </w:tc>
        <w:tc>
          <w:tcPr>
            <w:tcW w:w="110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cs="宋体"/>
                <w:color w:val="auto"/>
                <w:kern w:val="0"/>
                <w:sz w:val="18"/>
                <w:szCs w:val="18"/>
                <w:highlight w:val="none"/>
                <w:lang w:bidi="ar"/>
              </w:rPr>
              <w:t>按合同约定</w:t>
            </w:r>
          </w:p>
        </w:tc>
        <w:tc>
          <w:tcPr>
            <w:tcW w:w="12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w:t>
            </w:r>
            <w:r>
              <w:rPr>
                <w:rFonts w:hint="eastAsia" w:ascii="宋体" w:hAnsi="宋体" w:cs="宋体"/>
                <w:i w:val="0"/>
                <w:iCs w:val="0"/>
                <w:color w:val="auto"/>
                <w:kern w:val="0"/>
                <w:sz w:val="18"/>
                <w:szCs w:val="18"/>
                <w:highlight w:val="none"/>
                <w:u w:val="none"/>
                <w:lang w:val="en-US" w:eastAsia="zh-CN" w:bidi="ar"/>
              </w:rPr>
              <w:t>堵塞</w:t>
            </w:r>
            <w:r>
              <w:rPr>
                <w:rFonts w:hint="eastAsia" w:ascii="宋体" w:hAnsi="宋体" w:eastAsia="宋体" w:cs="宋体"/>
                <w:i w:val="0"/>
                <w:iCs w:val="0"/>
                <w:color w:val="auto"/>
                <w:kern w:val="0"/>
                <w:sz w:val="18"/>
                <w:szCs w:val="18"/>
                <w:highlight w:val="none"/>
                <w:u w:val="none"/>
                <w:lang w:val="en-US" w:eastAsia="zh-CN" w:bidi="ar"/>
              </w:rPr>
              <w:t>、无外溢</w:t>
            </w:r>
          </w:p>
        </w:tc>
      </w:tr>
    </w:tbl>
    <w:p>
      <w:pPr>
        <w:bidi w:val="0"/>
        <w:rPr>
          <w:rFonts w:hint="eastAsia"/>
          <w:color w:val="auto"/>
          <w:highlight w:val="none"/>
          <w:lang w:val="en-US" w:eastAsia="zh-CN"/>
        </w:rPr>
      </w:pPr>
    </w:p>
    <w:p>
      <w:pPr>
        <w:tabs>
          <w:tab w:val="left" w:pos="1842"/>
        </w:tabs>
        <w:bidi w:val="0"/>
        <w:jc w:val="left"/>
        <w:rPr>
          <w:rFonts w:hint="eastAsia"/>
          <w:color w:val="auto"/>
          <w:highlight w:val="none"/>
          <w:lang w:val="en-US" w:eastAsia="zh-CN"/>
        </w:rPr>
      </w:pPr>
    </w:p>
    <w:p>
      <w:pPr>
        <w:tabs>
          <w:tab w:val="left" w:pos="1842"/>
        </w:tabs>
        <w:bidi w:val="0"/>
        <w:jc w:val="left"/>
        <w:rPr>
          <w:rFonts w:hint="eastAsia"/>
          <w:color w:val="auto"/>
          <w:highlight w:val="none"/>
          <w:lang w:val="en-US" w:eastAsia="zh-CN"/>
        </w:rPr>
      </w:pPr>
    </w:p>
    <w:p>
      <w:pPr>
        <w:tabs>
          <w:tab w:val="left" w:pos="1842"/>
        </w:tabs>
        <w:bidi w:val="0"/>
        <w:jc w:val="left"/>
        <w:rPr>
          <w:rFonts w:hint="eastAsia"/>
          <w:color w:val="auto"/>
          <w:highlight w:val="none"/>
          <w:lang w:val="en-US" w:eastAsia="zh-CN"/>
        </w:rPr>
      </w:pPr>
    </w:p>
    <w:p>
      <w:pPr>
        <w:tabs>
          <w:tab w:val="left" w:pos="1842"/>
        </w:tabs>
        <w:bidi w:val="0"/>
        <w:jc w:val="left"/>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pStyle w:val="20"/>
        <w:rPr>
          <w:rFonts w:hint="eastAsia"/>
          <w:color w:val="auto"/>
          <w:highlight w:val="none"/>
          <w:lang w:val="en-US" w:eastAsia="zh-CN"/>
        </w:rPr>
      </w:pPr>
    </w:p>
    <w:p>
      <w:pPr>
        <w:pStyle w:val="20"/>
        <w:rPr>
          <w:rFonts w:hint="eastAsia"/>
          <w:color w:val="auto"/>
          <w:highlight w:val="none"/>
          <w:lang w:val="en-US" w:eastAsia="zh-CN"/>
        </w:rPr>
      </w:pPr>
    </w:p>
    <w:p>
      <w:pPr>
        <w:pStyle w:val="20"/>
        <w:rPr>
          <w:rFonts w:hint="eastAsia"/>
          <w:color w:val="auto"/>
          <w:highlight w:val="none"/>
          <w:lang w:val="en-US" w:eastAsia="zh-CN"/>
        </w:rPr>
      </w:pPr>
    </w:p>
    <w:p>
      <w:pPr>
        <w:rPr>
          <w:rFonts w:hint="eastAsia"/>
          <w:lang w:val="en-US" w:eastAsia="zh-CN"/>
        </w:rPr>
      </w:pPr>
    </w:p>
    <w:p>
      <w:pPr>
        <w:pStyle w:val="20"/>
        <w:rPr>
          <w:rFonts w:hint="eastAsia"/>
          <w:color w:val="auto"/>
          <w:highlight w:val="none"/>
          <w:lang w:val="en-US" w:eastAsia="zh-CN"/>
        </w:rPr>
      </w:pPr>
    </w:p>
    <w:p>
      <w:pPr>
        <w:tabs>
          <w:tab w:val="left" w:pos="1842"/>
        </w:tabs>
        <w:bidi w:val="0"/>
        <w:jc w:val="left"/>
        <w:rPr>
          <w:rFonts w:hint="eastAsia"/>
          <w:color w:val="auto"/>
          <w:highlight w:val="none"/>
          <w:lang w:val="en-US" w:eastAsia="zh-CN"/>
        </w:rPr>
      </w:pPr>
    </w:p>
    <w:p>
      <w:pPr>
        <w:tabs>
          <w:tab w:val="left" w:pos="1842"/>
        </w:tabs>
        <w:bidi w:val="0"/>
        <w:jc w:val="left"/>
        <w:rPr>
          <w:rFonts w:hint="eastAsia"/>
          <w:color w:val="auto"/>
          <w:highlight w:val="none"/>
          <w:lang w:val="en-US" w:eastAsia="zh-CN"/>
        </w:rPr>
      </w:pPr>
    </w:p>
    <w:p>
      <w:pPr>
        <w:jc w:val="center"/>
        <w:rPr>
          <w:rFonts w:ascii="Times New Roman" w:hAnsi="Times New Roman" w:eastAsia="黑体"/>
          <w:sz w:val="30"/>
          <w:szCs w:val="30"/>
          <w:highlight w:val="none"/>
        </w:rPr>
      </w:pPr>
      <w:r>
        <w:rPr>
          <w:rFonts w:ascii="Times New Roman" w:hAnsi="Times New Roman" w:eastAsia="黑体"/>
          <w:sz w:val="30"/>
          <w:szCs w:val="30"/>
          <w:highlight w:val="none"/>
        </w:rPr>
        <w:t>广东省标准</w:t>
      </w:r>
    </w:p>
    <w:p>
      <w:pPr>
        <w:jc w:val="center"/>
        <w:rPr>
          <w:rFonts w:ascii="Times New Roman" w:hAnsi="Times New Roman" w:eastAsia="黑体"/>
          <w:highlight w:val="none"/>
        </w:rPr>
      </w:pPr>
    </w:p>
    <w:p>
      <w:pPr>
        <w:jc w:val="center"/>
        <w:rPr>
          <w:rFonts w:ascii="Times New Roman" w:hAnsi="Times New Roman" w:eastAsia="黑体"/>
          <w:sz w:val="32"/>
          <w:szCs w:val="84"/>
          <w:highlight w:val="none"/>
        </w:rPr>
      </w:pPr>
      <w:r>
        <w:rPr>
          <w:rFonts w:hint="eastAsia" w:ascii="Times New Roman" w:hAnsi="Times New Roman" w:eastAsia="黑体"/>
          <w:sz w:val="32"/>
          <w:szCs w:val="84"/>
          <w:highlight w:val="none"/>
        </w:rPr>
        <w:t>电力工业物业管理服务标准</w:t>
      </w:r>
    </w:p>
    <w:p>
      <w:pPr>
        <w:spacing w:line="360" w:lineRule="exact"/>
        <w:jc w:val="center"/>
        <w:rPr>
          <w:rFonts w:ascii="Times New Roman" w:hAnsi="Times New Roman" w:eastAsia="黑体"/>
          <w:kern w:val="0"/>
          <w:szCs w:val="21"/>
          <w:highlight w:val="none"/>
        </w:rPr>
      </w:pPr>
      <w:r>
        <w:rPr>
          <w:rFonts w:hint="eastAsia" w:ascii="Times New Roman" w:hAnsi="Times New Roman" w:eastAsia="黑体"/>
          <w:kern w:val="0"/>
          <w:highlight w:val="none"/>
        </w:rPr>
        <w:t>Service standard for property management in the electric power industry</w:t>
      </w:r>
    </w:p>
    <w:p>
      <w:pPr>
        <w:spacing w:line="360" w:lineRule="exact"/>
        <w:jc w:val="center"/>
        <w:rPr>
          <w:rFonts w:ascii="Times New Roman" w:hAnsi="Times New Roman" w:eastAsia="黑体"/>
          <w:kern w:val="0"/>
          <w:szCs w:val="21"/>
          <w:highlight w:val="none"/>
        </w:rPr>
      </w:pPr>
    </w:p>
    <w:p>
      <w:pPr>
        <w:spacing w:line="360" w:lineRule="exact"/>
        <w:jc w:val="center"/>
        <w:rPr>
          <w:rFonts w:ascii="Times New Roman" w:hAnsi="Times New Roman"/>
          <w:highlight w:val="none"/>
        </w:rPr>
      </w:pPr>
    </w:p>
    <w:p>
      <w:pPr>
        <w:spacing w:line="360" w:lineRule="exact"/>
        <w:jc w:val="center"/>
        <w:rPr>
          <w:rFonts w:ascii="Times New Roman" w:hAnsi="Times New Roman"/>
          <w:highlight w:val="none"/>
        </w:rPr>
      </w:pPr>
      <w:r>
        <w:rPr>
          <w:rFonts w:ascii="Times New Roman" w:hAnsi="Times New Roman"/>
          <w:highlight w:val="none"/>
        </w:rPr>
        <w:t>DBJ XX-XX-2020</w:t>
      </w:r>
    </w:p>
    <w:p>
      <w:pPr>
        <w:pStyle w:val="2"/>
        <w:jc w:val="center"/>
        <w:rPr>
          <w:rFonts w:ascii="Times New Roman" w:hAnsi="Times New Roman"/>
          <w:sz w:val="30"/>
          <w:szCs w:val="30"/>
          <w:highlight w:val="none"/>
        </w:rPr>
      </w:pPr>
      <w:bookmarkStart w:id="387" w:name="_Toc13005"/>
      <w:bookmarkStart w:id="388" w:name="_Toc12740"/>
      <w:r>
        <w:rPr>
          <w:rFonts w:ascii="Times New Roman" w:hAnsi="Times New Roman"/>
          <w:sz w:val="30"/>
          <w:szCs w:val="30"/>
          <w:highlight w:val="none"/>
        </w:rPr>
        <w:t>条 文 说 明</w:t>
      </w:r>
      <w:bookmarkEnd w:id="387"/>
      <w:bookmarkEnd w:id="388"/>
    </w:p>
    <w:p>
      <w:pPr>
        <w:rPr>
          <w:rFonts w:ascii="Times New Roman" w:hAnsi="Times New Roman"/>
          <w:sz w:val="28"/>
          <w:szCs w:val="28"/>
          <w:highlight w:val="none"/>
        </w:rPr>
      </w:pPr>
    </w:p>
    <w:p>
      <w:pPr>
        <w:rPr>
          <w:rFonts w:ascii="Times New Roman" w:hAnsi="Times New Roman"/>
          <w:sz w:val="28"/>
          <w:szCs w:val="28"/>
          <w:highlight w:val="none"/>
        </w:rPr>
      </w:pPr>
    </w:p>
    <w:p>
      <w:pPr>
        <w:rPr>
          <w:rFonts w:ascii="Times New Roman" w:hAnsi="Times New Roman"/>
          <w:sz w:val="28"/>
          <w:szCs w:val="28"/>
          <w:highlight w:val="none"/>
        </w:rPr>
      </w:pPr>
    </w:p>
    <w:p>
      <w:pPr>
        <w:rPr>
          <w:rFonts w:ascii="Times New Roman" w:hAnsi="Times New Roman"/>
          <w:sz w:val="28"/>
          <w:szCs w:val="28"/>
          <w:highlight w:val="none"/>
        </w:rPr>
      </w:pPr>
    </w:p>
    <w:p>
      <w:pPr>
        <w:rPr>
          <w:rFonts w:ascii="Times New Roman" w:hAnsi="Times New Roman"/>
          <w:sz w:val="28"/>
          <w:szCs w:val="28"/>
          <w:highlight w:val="none"/>
        </w:rPr>
      </w:pPr>
    </w:p>
    <w:p>
      <w:pPr>
        <w:rPr>
          <w:rFonts w:ascii="Times New Roman" w:hAnsi="Times New Roman"/>
          <w:sz w:val="28"/>
          <w:szCs w:val="28"/>
          <w:highlight w:val="none"/>
        </w:rPr>
      </w:pPr>
    </w:p>
    <w:p>
      <w:pPr>
        <w:rPr>
          <w:rFonts w:ascii="Times New Roman" w:hAnsi="Times New Roman"/>
          <w:sz w:val="28"/>
          <w:szCs w:val="28"/>
          <w:highlight w:val="none"/>
        </w:rPr>
      </w:pPr>
    </w:p>
    <w:p>
      <w:pPr>
        <w:widowControl/>
        <w:jc w:val="left"/>
        <w:rPr>
          <w:rFonts w:ascii="Times New Roman" w:hAnsi="Times New Roman"/>
          <w:sz w:val="28"/>
          <w:szCs w:val="28"/>
          <w:highlight w:val="none"/>
        </w:rPr>
      </w:pPr>
      <w:r>
        <w:rPr>
          <w:rFonts w:ascii="Times New Roman" w:hAnsi="Times New Roman"/>
          <w:sz w:val="28"/>
          <w:szCs w:val="28"/>
          <w:highlight w:val="none"/>
        </w:rPr>
        <w:br w:type="page"/>
      </w:r>
    </w:p>
    <w:p>
      <w:pPr>
        <w:pStyle w:val="35"/>
        <w:jc w:val="center"/>
        <w:rPr>
          <w:rFonts w:ascii="Times New Roman" w:hAnsi="Times New Roman" w:cs="Times New Roman"/>
          <w:b/>
          <w:color w:val="auto"/>
          <w:sz w:val="32"/>
          <w:szCs w:val="32"/>
          <w:highlight w:val="none"/>
        </w:rPr>
      </w:pPr>
      <w:r>
        <w:rPr>
          <w:rFonts w:ascii="Times New Roman" w:hAnsi="Times New Roman" w:cs="Times New Roman"/>
          <w:b/>
          <w:color w:val="auto"/>
          <w:sz w:val="32"/>
          <w:szCs w:val="32"/>
          <w:highlight w:val="none"/>
        </w:rPr>
        <w:t>制 定 说 明</w:t>
      </w:r>
    </w:p>
    <w:p>
      <w:pPr>
        <w:tabs>
          <w:tab w:val="left" w:pos="720"/>
        </w:tabs>
        <w:spacing w:line="360" w:lineRule="auto"/>
        <w:ind w:firstLine="480" w:firstLineChars="200"/>
        <w:rPr>
          <w:rFonts w:hint="eastAsia" w:ascii="宋体" w:hAnsi="宋体" w:eastAsia="宋体" w:cs="宋体"/>
          <w:sz w:val="24"/>
          <w:szCs w:val="24"/>
        </w:rPr>
      </w:pPr>
      <w:bookmarkStart w:id="389" w:name="_Toc23207"/>
      <w:r>
        <w:rPr>
          <w:rFonts w:hint="eastAsia" w:ascii="宋体" w:hAnsi="宋体" w:eastAsia="宋体" w:cs="宋体"/>
          <w:sz w:val="24"/>
          <w:szCs w:val="24"/>
        </w:rPr>
        <w:t>《电力工业物业管理服务标准》DBJ/T XXX-XXXX，经广东省住房和城乡建设厅XX年XX月XX日以第XX号公告批准、发布。</w:t>
      </w:r>
    </w:p>
    <w:p>
      <w:pPr>
        <w:tabs>
          <w:tab w:val="left" w:pos="72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本标准编制过程中，编制组进行了广泛调查研究，认真总结了广东省电力工业物业管理服务的实践经验，广泛征求了有关单位和专家的意见，对主要问题进行了反复讨论与修改。</w:t>
      </w:r>
    </w:p>
    <w:p>
      <w:pPr>
        <w:tabs>
          <w:tab w:val="left" w:pos="720"/>
        </w:tabs>
        <w:spacing w:line="360" w:lineRule="auto"/>
        <w:ind w:firstLine="480" w:firstLineChars="200"/>
      </w:pPr>
      <w:r>
        <w:rPr>
          <w:rFonts w:hint="eastAsia" w:ascii="宋体" w:hAnsi="宋体" w:eastAsia="宋体" w:cs="宋体"/>
          <w:sz w:val="24"/>
          <w:szCs w:val="24"/>
        </w:rPr>
        <w:t>为便于广大设计、科研、学校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物业</w:t>
      </w:r>
      <w:r>
        <w:rPr>
          <w:rFonts w:hint="eastAsia" w:ascii="宋体" w:hAnsi="宋体" w:eastAsia="宋体" w:cs="宋体"/>
          <w:sz w:val="24"/>
          <w:szCs w:val="24"/>
        </w:rPr>
        <w:t>等单位有关人员在使用本标准时能正确理解和执行条文规定，《电力工业物业管理服务标准》编制组按章、节、条顺序编制了本标准的条文说明，对条文规定的目的、依据以及执行中需注意的有关事项进行了说明。但是，本条文说明不具备与标准正文同等的法律效力，仅供使用者作为理解和把握标准规定的参考。</w:t>
      </w:r>
    </w:p>
    <w:p>
      <w:pPr>
        <w:pStyle w:val="2"/>
        <w:keepNext w:val="0"/>
        <w:keepLines w:val="0"/>
        <w:pageBreakBefore/>
        <w:spacing w:line="360" w:lineRule="auto"/>
        <w:jc w:val="center"/>
        <w:rPr>
          <w:rFonts w:hint="eastAsia" w:ascii="Times New Roman" w:hAnsi="Times New Roman" w:eastAsia="宋体" w:cs="Times New Roman"/>
          <w:b/>
          <w:bCs/>
          <w:sz w:val="30"/>
          <w:highlight w:val="none"/>
          <w:lang w:val="en-US" w:eastAsia="zh-CN"/>
        </w:rPr>
      </w:pPr>
      <w:r>
        <w:rPr>
          <w:rFonts w:hint="eastAsia" w:ascii="Times New Roman" w:hAnsi="Times New Roman" w:eastAsia="宋体" w:cs="Times New Roman"/>
          <w:b/>
          <w:bCs/>
          <w:sz w:val="30"/>
          <w:highlight w:val="none"/>
          <w:lang w:val="en-US" w:eastAsia="zh-CN"/>
        </w:rPr>
        <w:t>4 基</w:t>
      </w:r>
      <w:r>
        <w:rPr>
          <w:rFonts w:hint="eastAsia" w:cs="Times New Roman"/>
          <w:b/>
          <w:bCs/>
          <w:sz w:val="30"/>
          <w:highlight w:val="none"/>
          <w:lang w:val="en-US" w:eastAsia="zh-CN"/>
        </w:rPr>
        <w:t xml:space="preserve">  </w:t>
      </w:r>
      <w:r>
        <w:rPr>
          <w:rFonts w:hint="eastAsia" w:ascii="Times New Roman" w:hAnsi="Times New Roman" w:eastAsia="宋体" w:cs="Times New Roman"/>
          <w:b/>
          <w:bCs/>
          <w:sz w:val="30"/>
          <w:highlight w:val="none"/>
          <w:lang w:val="en-US" w:eastAsia="zh-CN"/>
        </w:rPr>
        <w:t>本</w:t>
      </w:r>
      <w:r>
        <w:rPr>
          <w:rFonts w:hint="eastAsia" w:cs="Times New Roman"/>
          <w:b/>
          <w:bCs/>
          <w:sz w:val="30"/>
          <w:highlight w:val="none"/>
          <w:lang w:val="en-US" w:eastAsia="zh-CN"/>
        </w:rPr>
        <w:t xml:space="preserve">  </w:t>
      </w:r>
      <w:r>
        <w:rPr>
          <w:rFonts w:hint="eastAsia" w:ascii="Times New Roman" w:hAnsi="Times New Roman" w:eastAsia="宋体" w:cs="Times New Roman"/>
          <w:b/>
          <w:bCs/>
          <w:sz w:val="30"/>
          <w:highlight w:val="none"/>
          <w:lang w:val="en-US" w:eastAsia="zh-CN"/>
        </w:rPr>
        <w:t>要</w:t>
      </w:r>
      <w:r>
        <w:rPr>
          <w:rFonts w:hint="eastAsia" w:cs="Times New Roman"/>
          <w:b/>
          <w:bCs/>
          <w:sz w:val="30"/>
          <w:highlight w:val="none"/>
          <w:lang w:val="en-US" w:eastAsia="zh-CN"/>
        </w:rPr>
        <w:t xml:space="preserve">  </w:t>
      </w:r>
      <w:r>
        <w:rPr>
          <w:rFonts w:hint="eastAsia" w:ascii="Times New Roman" w:hAnsi="Times New Roman" w:eastAsia="宋体" w:cs="Times New Roman"/>
          <w:b/>
          <w:bCs/>
          <w:sz w:val="30"/>
          <w:highlight w:val="none"/>
          <w:lang w:val="en-US" w:eastAsia="zh-CN"/>
        </w:rPr>
        <w:t>求</w:t>
      </w:r>
      <w:bookmarkEnd w:id="389"/>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jc w:val="center"/>
        <w:textAlignment w:val="auto"/>
        <w:outlineLvl w:val="1"/>
        <w:rPr>
          <w:rFonts w:hint="eastAsia" w:ascii="宋体" w:hAnsi="宋体" w:eastAsia="宋体" w:cs="宋体"/>
          <w:b/>
          <w:bCs/>
          <w:color w:val="auto"/>
          <w:sz w:val="24"/>
          <w:szCs w:val="24"/>
          <w:highlight w:val="none"/>
        </w:rPr>
      </w:pPr>
      <w:bookmarkStart w:id="390" w:name="_Toc16025"/>
      <w:r>
        <w:rPr>
          <w:rFonts w:hint="eastAsia" w:ascii="宋体" w:hAnsi="宋体" w:eastAsia="宋体" w:cs="宋体"/>
          <w:b/>
          <w:bCs/>
          <w:color w:val="auto"/>
          <w:sz w:val="24"/>
          <w:szCs w:val="24"/>
          <w:highlight w:val="none"/>
          <w:lang w:val="en-US" w:eastAsia="zh-CN"/>
        </w:rPr>
        <w:t>4.1  人员要求</w:t>
      </w:r>
      <w:bookmarkEnd w:id="390"/>
    </w:p>
    <w:p>
      <w:pPr>
        <w:spacing w:line="360" w:lineRule="auto"/>
        <w:rPr>
          <w:rFonts w:hint="eastAsia"/>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4.1.3  </w:t>
      </w:r>
      <w:r>
        <w:rPr>
          <w:rFonts w:hint="eastAsia" w:ascii="宋体" w:hAnsi="宋体" w:eastAsia="宋体" w:cs="宋体"/>
          <w:color w:val="auto"/>
          <w:sz w:val="24"/>
          <w:szCs w:val="24"/>
          <w:highlight w:val="none"/>
          <w:lang w:val="en-US" w:eastAsia="zh-CN"/>
        </w:rPr>
        <w:t>客户信息</w:t>
      </w:r>
      <w:r>
        <w:rPr>
          <w:rFonts w:hint="eastAsia" w:ascii="宋体" w:hAnsi="宋体" w:cs="宋体"/>
          <w:color w:val="auto"/>
          <w:sz w:val="24"/>
          <w:szCs w:val="24"/>
          <w:highlight w:val="none"/>
          <w:lang w:val="en-US" w:eastAsia="zh-CN"/>
        </w:rPr>
        <w:t>：根据《中华人民共和国保守国家秘密法》、《中华人民共和国数据安全法》，客户信息应包含但不限于各办公场所到访客户或参观学习人员所登记的信息，并进行保密。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391" w:name="_Toc3661"/>
      <w:r>
        <w:rPr>
          <w:rFonts w:hint="eastAsia" w:ascii="宋体" w:hAnsi="宋体" w:eastAsia="宋体" w:cs="宋体"/>
          <w:b/>
          <w:bCs/>
          <w:color w:val="auto"/>
          <w:sz w:val="24"/>
          <w:szCs w:val="24"/>
          <w:highlight w:val="none"/>
          <w:lang w:val="en-US" w:eastAsia="zh-CN"/>
        </w:rPr>
        <w:t>4.3  档案管理</w:t>
      </w:r>
      <w:bookmarkEnd w:id="391"/>
    </w:p>
    <w:p>
      <w:pPr>
        <w:spacing w:line="360" w:lineRule="auto"/>
        <w:rPr>
          <w:rFonts w:hint="eastAsia" w:ascii="宋体" w:hAnsi="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4.3.1</w:t>
      </w:r>
      <w:r>
        <w:rPr>
          <w:rFonts w:hint="eastAsia" w:ascii="宋体" w:hAnsi="宋体" w:eastAsia="宋体" w:cs="宋体"/>
          <w:color w:val="auto"/>
          <w:sz w:val="24"/>
          <w:szCs w:val="24"/>
          <w:highlight w:val="none"/>
          <w:lang w:val="en-US" w:eastAsia="zh-CN"/>
        </w:rPr>
        <w:t xml:space="preserve">  档案管理制度</w:t>
      </w:r>
      <w:r>
        <w:rPr>
          <w:rFonts w:hint="eastAsia" w:ascii="宋体" w:hAnsi="宋体" w:cs="宋体"/>
          <w:color w:val="auto"/>
          <w:sz w:val="24"/>
          <w:szCs w:val="24"/>
          <w:highlight w:val="none"/>
          <w:lang w:val="en-US" w:eastAsia="zh-CN"/>
        </w:rPr>
        <w:t>：根据《中华人民共和国档案法》等法律法规，本规定</w:t>
      </w:r>
      <w:r>
        <w:rPr>
          <w:rFonts w:hint="eastAsia" w:ascii="宋体" w:hAnsi="宋体" w:eastAsia="宋体" w:cs="宋体"/>
          <w:color w:val="auto"/>
          <w:sz w:val="24"/>
          <w:szCs w:val="24"/>
          <w:highlight w:val="none"/>
          <w:lang w:val="en-US" w:eastAsia="zh-CN"/>
        </w:rPr>
        <w:t>档案管理制度</w:t>
      </w:r>
      <w:r>
        <w:rPr>
          <w:rFonts w:hint="eastAsia" w:ascii="宋体" w:hAnsi="宋体" w:cs="宋体"/>
          <w:color w:val="auto"/>
          <w:sz w:val="24"/>
          <w:szCs w:val="24"/>
          <w:highlight w:val="none"/>
          <w:lang w:val="en-US" w:eastAsia="zh-CN"/>
        </w:rPr>
        <w:t>是指企业在建设、经营和服务等活动中直接形成的对社会和企业具有保存价值的各种文字、图表、声像等不同形式的历史记录；应当形成档案，开展档案收集、整理、保管、利用及监督管理等活动。</w:t>
      </w:r>
    </w:p>
    <w:p>
      <w:pPr>
        <w:pStyle w:val="20"/>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pStyle w:val="2"/>
        <w:bidi w:val="0"/>
        <w:spacing w:line="360" w:lineRule="auto"/>
        <w:jc w:val="center"/>
        <w:rPr>
          <w:rFonts w:hint="eastAsia"/>
          <w:highlight w:val="none"/>
          <w:lang w:val="en-US" w:eastAsia="zh-CN"/>
        </w:rPr>
      </w:pPr>
      <w:bookmarkStart w:id="392" w:name="_Toc184"/>
      <w:r>
        <w:rPr>
          <w:rFonts w:hint="eastAsia" w:ascii="Times New Roman" w:hAnsi="Times New Roman" w:eastAsia="宋体" w:cs="Times New Roman"/>
          <w:sz w:val="30"/>
          <w:highlight w:val="none"/>
          <w:lang w:val="en-US" w:eastAsia="zh-CN"/>
        </w:rPr>
        <w:t>9 设施设备运行服务</w:t>
      </w:r>
      <w:bookmarkEnd w:id="392"/>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393" w:name="_Toc21237"/>
      <w:r>
        <w:rPr>
          <w:rFonts w:hint="eastAsia" w:ascii="宋体" w:hAnsi="宋体" w:eastAsia="宋体" w:cs="宋体"/>
          <w:b/>
          <w:bCs/>
          <w:color w:val="auto"/>
          <w:sz w:val="24"/>
          <w:szCs w:val="24"/>
          <w:highlight w:val="none"/>
          <w:lang w:val="en-US" w:eastAsia="zh-CN"/>
        </w:rPr>
        <w:t>9.1   供配电系统</w:t>
      </w:r>
      <w:bookmarkEnd w:id="393"/>
    </w:p>
    <w:p>
      <w:pPr>
        <w:pStyle w:val="20"/>
        <w:spacing w:line="360" w:lineRule="auto"/>
        <w:rPr>
          <w:rFonts w:hint="eastAsia" w:ascii="宋体" w:hAnsi="宋体" w:eastAsia="宋体" w:cs="宋体"/>
          <w:color w:val="auto"/>
          <w:sz w:val="24"/>
          <w:szCs w:val="24"/>
          <w:highlight w:val="none"/>
          <w:lang w:val="en-US" w:eastAsia="zh-CN" w:bidi="ar-SA"/>
        </w:rPr>
      </w:pPr>
      <w:r>
        <w:rPr>
          <w:rFonts w:hint="default" w:ascii="Times New Roman" w:hAnsi="Times New Roman" w:eastAsia="宋体" w:cs="Times New Roman"/>
          <w:b/>
          <w:bCs/>
          <w:i w:val="0"/>
          <w:color w:val="auto"/>
          <w:kern w:val="2"/>
          <w:sz w:val="24"/>
          <w:szCs w:val="24"/>
          <w:highlight w:val="none"/>
          <w:lang w:val="en-US" w:eastAsia="zh-CN" w:bidi="ar-SA"/>
        </w:rPr>
        <w:t>9.1</w:t>
      </w:r>
      <w:r>
        <w:rPr>
          <w:rFonts w:hint="default" w:ascii="Times New Roman" w:hAnsi="Times New Roman" w:eastAsia="宋体" w:cs="Times New Roman"/>
          <w:b/>
          <w:bCs/>
          <w:i w:val="0"/>
          <w:color w:val="auto"/>
          <w:sz w:val="24"/>
          <w:szCs w:val="24"/>
          <w:highlight w:val="none"/>
          <w:lang w:val="en-US" w:eastAsia="zh-CN" w:bidi="ar-SA"/>
        </w:rPr>
        <w:t>.1</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bidi="ar-SA"/>
        </w:rPr>
        <w:t>UPS电源柜是一种专门设计的电源备用设备，一般用于保证临时停电时，建筑物的持续供电的设备。</w:t>
      </w:r>
    </w:p>
    <w:p>
      <w:pPr>
        <w:pStyle w:val="20"/>
        <w:spacing w:line="360"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EPS应急电源是根据消防设施、应急照明、事故照明等一级负荷供电设备需要而组成的电源设备。主要用于建筑物发生火情或其他紧急情况下为应急照明等各种灯具（含单进单出型金属卤素灯、钠灯）提供集中供电的应急电源装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394" w:name="_Toc9777"/>
      <w:r>
        <w:rPr>
          <w:rFonts w:hint="eastAsia" w:ascii="宋体" w:hAnsi="宋体" w:eastAsia="宋体" w:cs="宋体"/>
          <w:b/>
          <w:bCs/>
          <w:color w:val="auto"/>
          <w:sz w:val="24"/>
          <w:szCs w:val="24"/>
          <w:highlight w:val="none"/>
          <w:lang w:val="en-US" w:eastAsia="zh-CN"/>
        </w:rPr>
        <w:t>9.3  给排水系统</w:t>
      </w:r>
      <w:bookmarkEnd w:id="394"/>
    </w:p>
    <w:p>
      <w:pPr>
        <w:spacing w:line="360" w:lineRule="auto"/>
        <w:rPr>
          <w:rFonts w:hint="eastAsia" w:ascii="宋体" w:hAnsi="宋体" w:cs="宋体"/>
          <w:color w:val="auto"/>
          <w:sz w:val="24"/>
          <w:szCs w:val="24"/>
          <w:highlight w:val="none"/>
          <w:lang w:val="en-US" w:eastAsia="zh-CN" w:bidi="ar-SA"/>
        </w:rPr>
      </w:pPr>
      <w:r>
        <w:rPr>
          <w:rFonts w:hint="eastAsia" w:ascii="Times New Roman" w:hAnsi="Times New Roman" w:eastAsia="宋体" w:cs="Times New Roman"/>
          <w:b/>
          <w:bCs/>
          <w:i w:val="0"/>
          <w:color w:val="auto"/>
          <w:kern w:val="2"/>
          <w:sz w:val="24"/>
          <w:szCs w:val="24"/>
          <w:highlight w:val="none"/>
          <w:lang w:val="en-US" w:eastAsia="zh-CN" w:bidi="ar-SA"/>
        </w:rPr>
        <w:t>9.3.2</w:t>
      </w:r>
      <w:r>
        <w:rPr>
          <w:rFonts w:hint="eastAsia" w:ascii="Times New Roman" w:hAnsi="Times New Roman" w:cs="Times New Roman"/>
          <w:b/>
          <w:bCs/>
          <w:i w:val="0"/>
          <w:color w:val="auto"/>
          <w:kern w:val="2"/>
          <w:sz w:val="24"/>
          <w:szCs w:val="24"/>
          <w:highlight w:val="none"/>
          <w:lang w:val="en-US" w:eastAsia="zh-CN" w:bidi="ar-SA"/>
        </w:rPr>
        <w:t xml:space="preserve">  </w:t>
      </w:r>
      <w:r>
        <w:rPr>
          <w:rFonts w:hint="eastAsia" w:ascii="宋体" w:hAnsi="宋体" w:cs="宋体"/>
          <w:color w:val="auto"/>
          <w:sz w:val="24"/>
          <w:szCs w:val="24"/>
          <w:highlight w:val="none"/>
          <w:lang w:val="en-US" w:eastAsia="zh-CN" w:bidi="ar-SA"/>
        </w:rPr>
        <w:t>生活水泵和消毒装置以及设备控制柜等进行定期保养的基础，应当符合下列要求:</w:t>
      </w:r>
    </w:p>
    <w:p>
      <w:pPr>
        <w:spacing w:line="360" w:lineRule="auto"/>
        <w:ind w:firstLine="480" w:firstLineChars="200"/>
        <w:rPr>
          <w:rFonts w:hint="eastAsia"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  维修养护内容完备；</w:t>
      </w:r>
    </w:p>
    <w:p>
      <w:pPr>
        <w:spacing w:line="360" w:lineRule="auto"/>
        <w:ind w:firstLine="480" w:firstLineChars="200"/>
        <w:rPr>
          <w:rFonts w:hint="eastAsia"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2  维修养护内容数据详细具体。</w:t>
      </w:r>
    </w:p>
    <w:p>
      <w:pPr>
        <w:spacing w:line="360" w:lineRule="auto"/>
        <w:ind w:firstLine="480" w:firstLineChars="200"/>
        <w:rPr>
          <w:rFonts w:hint="eastAsia"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本条附录所列项目满足第1款要求，为满足第2款要求，服务企业可以根据维修养护实际情况，用本条附件作为汇总表，现场记录可另附详细表格。</w:t>
      </w:r>
    </w:p>
    <w:p>
      <w:pPr>
        <w:pStyle w:val="20"/>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pStyle w:val="2"/>
        <w:bidi w:val="0"/>
        <w:spacing w:line="360" w:lineRule="auto"/>
        <w:jc w:val="center"/>
        <w:rPr>
          <w:rFonts w:hint="eastAsia" w:ascii="Times New Roman" w:hAnsi="Times New Roman" w:eastAsia="宋体" w:cs="Times New Roman"/>
          <w:sz w:val="30"/>
          <w:highlight w:val="none"/>
          <w:lang w:val="en-US" w:eastAsia="zh-CN"/>
        </w:rPr>
      </w:pPr>
      <w:bookmarkStart w:id="395" w:name="_Toc15187"/>
      <w:r>
        <w:rPr>
          <w:rFonts w:hint="eastAsia" w:ascii="Times New Roman" w:hAnsi="Times New Roman" w:eastAsia="宋体" w:cs="Times New Roman"/>
          <w:sz w:val="30"/>
          <w:highlight w:val="none"/>
          <w:lang w:val="en-US" w:eastAsia="zh-CN"/>
        </w:rPr>
        <w:t>10  秩序消防服务</w:t>
      </w:r>
      <w:bookmarkEnd w:id="395"/>
    </w:p>
    <w:p>
      <w:pPr>
        <w:spacing w:line="360" w:lineRule="auto"/>
        <w:rPr>
          <w:rFonts w:hint="eastAsia" w:ascii="宋体" w:hAnsi="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10.5.5</w:t>
      </w:r>
      <w:r>
        <w:rPr>
          <w:rFonts w:hint="eastAsia" w:ascii="宋体" w:hAnsi="宋体" w:eastAsia="宋体" w:cs="宋体"/>
          <w:vanish w:val="0"/>
          <w:color w:val="auto"/>
          <w:sz w:val="24"/>
          <w:szCs w:val="24"/>
          <w:highlight w:val="none"/>
          <w:lang w:val="en-US" w:eastAsia="zh-CN"/>
        </w:rPr>
        <w:t xml:space="preserve">  志愿消防队</w:t>
      </w:r>
      <w:r>
        <w:rPr>
          <w:rFonts w:hint="eastAsia" w:ascii="宋体" w:hAnsi="宋体" w:cs="宋体"/>
          <w:vanish w:val="0"/>
          <w:color w:val="auto"/>
          <w:sz w:val="24"/>
          <w:szCs w:val="24"/>
          <w:highlight w:val="none"/>
          <w:lang w:val="en-US" w:eastAsia="zh-CN"/>
        </w:rPr>
        <w:t>：根据《中华人民共和国消防法》第四十一条　机关、团体、企业、事业等单位以及村民委员会、居民委员会根据需要，建立志愿消防队等多种形式的消防组织，开展群众性自防自救工作。</w:t>
      </w:r>
    </w:p>
    <w:p>
      <w:pPr>
        <w:pStyle w:val="20"/>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pStyle w:val="2"/>
        <w:bidi w:val="0"/>
        <w:spacing w:line="360" w:lineRule="auto"/>
        <w:jc w:val="center"/>
        <w:rPr>
          <w:rFonts w:hint="eastAsia" w:ascii="Times New Roman" w:hAnsi="Times New Roman" w:eastAsia="宋体" w:cs="Times New Roman"/>
          <w:sz w:val="30"/>
          <w:highlight w:val="none"/>
          <w:lang w:val="en-US" w:eastAsia="zh-CN"/>
        </w:rPr>
      </w:pPr>
      <w:bookmarkStart w:id="396" w:name="_Toc18780"/>
      <w:r>
        <w:rPr>
          <w:rFonts w:hint="eastAsia" w:ascii="Times New Roman" w:hAnsi="Times New Roman" w:eastAsia="宋体" w:cs="Times New Roman"/>
          <w:sz w:val="30"/>
          <w:highlight w:val="none"/>
          <w:lang w:val="en-US" w:eastAsia="zh-CN"/>
        </w:rPr>
        <w:t>15  公寓或招待所服务</w:t>
      </w:r>
      <w:bookmarkEnd w:id="396"/>
    </w:p>
    <w:p>
      <w:pPr>
        <w:spacing w:line="360" w:lineRule="auto"/>
        <w:rPr>
          <w:rFonts w:hint="eastAsia" w:ascii="宋体" w:hAnsi="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15.</w:t>
      </w:r>
      <w:r>
        <w:rPr>
          <w:rFonts w:hint="eastAsia" w:ascii="Times New Roman" w:hAnsi="Times New Roman" w:cs="Times New Roman"/>
          <w:b/>
          <w:bCs/>
          <w:vanish w:val="0"/>
          <w:color w:val="auto"/>
          <w:sz w:val="24"/>
          <w:szCs w:val="24"/>
          <w:highlight w:val="none"/>
          <w:lang w:val="en-US" w:eastAsia="zh-CN"/>
        </w:rPr>
        <w:t>0.</w:t>
      </w:r>
      <w:r>
        <w:rPr>
          <w:rFonts w:hint="eastAsia" w:ascii="Times New Roman" w:hAnsi="Times New Roman" w:eastAsia="宋体" w:cs="Times New Roman"/>
          <w:b/>
          <w:bCs/>
          <w:vanish w:val="0"/>
          <w:color w:val="auto"/>
          <w:sz w:val="24"/>
          <w:szCs w:val="24"/>
          <w:highlight w:val="none"/>
          <w:lang w:val="en-US" w:eastAsia="zh-CN"/>
        </w:rPr>
        <w:t>4</w:t>
      </w:r>
      <w:r>
        <w:rPr>
          <w:rFonts w:hint="eastAsia" w:ascii="宋体" w:hAnsi="宋体" w:eastAsia="宋体" w:cs="宋体"/>
          <w:vanish w:val="0"/>
          <w:color w:val="auto"/>
          <w:sz w:val="24"/>
          <w:szCs w:val="24"/>
          <w:highlight w:val="none"/>
          <w:lang w:val="en-US" w:eastAsia="zh-CN"/>
        </w:rPr>
        <w:t xml:space="preserve">  布草</w:t>
      </w:r>
      <w:r>
        <w:rPr>
          <w:rFonts w:hint="eastAsia" w:ascii="宋体" w:hAnsi="宋体" w:cs="宋体"/>
          <w:vanish w:val="0"/>
          <w:color w:val="auto"/>
          <w:sz w:val="24"/>
          <w:szCs w:val="24"/>
          <w:highlight w:val="none"/>
          <w:lang w:val="en-US" w:eastAsia="zh-CN"/>
        </w:rPr>
        <w:t>：泛指现代酒店、宾馆和招待所里与“布”有关的一切物品，包括但不限于床上用品如床单、被套、枕套、枕芯、被芯等，酒店卫浴产品如方巾、面巾、浴巾、浴袍等，以及酒店餐厅用纺织品如台布、口布、椅套等。</w:t>
      </w:r>
    </w:p>
    <w:p>
      <w:pPr>
        <w:pStyle w:val="20"/>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pStyle w:val="2"/>
        <w:bidi w:val="0"/>
        <w:spacing w:line="360" w:lineRule="auto"/>
        <w:jc w:val="center"/>
        <w:rPr>
          <w:rFonts w:hint="default"/>
          <w:highlight w:val="none"/>
          <w:lang w:val="en-US" w:eastAsia="zh-CN"/>
        </w:rPr>
      </w:pPr>
      <w:bookmarkStart w:id="397" w:name="_Toc2342"/>
      <w:r>
        <w:rPr>
          <w:rFonts w:hint="eastAsia" w:ascii="Times New Roman" w:hAnsi="Times New Roman" w:eastAsia="宋体" w:cs="Times New Roman"/>
          <w:sz w:val="30"/>
          <w:highlight w:val="none"/>
          <w:lang w:val="en-US" w:eastAsia="zh-CN"/>
        </w:rPr>
        <w:t>17  智  慧  物  业</w:t>
      </w:r>
      <w:bookmarkEnd w:id="397"/>
    </w:p>
    <w:p>
      <w:pPr>
        <w:pStyle w:val="20"/>
        <w:spacing w:line="360" w:lineRule="auto"/>
        <w:rPr>
          <w:rFonts w:hint="default"/>
          <w:sz w:val="24"/>
          <w:szCs w:val="24"/>
          <w:highlight w:val="none"/>
          <w:lang w:val="en-US" w:eastAsia="zh-CN"/>
        </w:rPr>
      </w:pPr>
      <w:r>
        <w:rPr>
          <w:rFonts w:hint="default" w:ascii="Times New Roman" w:hAnsi="Times New Roman" w:eastAsia="宋体" w:cs="Times New Roman"/>
          <w:b/>
          <w:bCs/>
          <w:vanish w:val="0"/>
          <w:color w:val="auto"/>
          <w:kern w:val="2"/>
          <w:sz w:val="24"/>
          <w:szCs w:val="24"/>
          <w:highlight w:val="none"/>
          <w:lang w:val="en-US" w:eastAsia="zh-CN" w:bidi="ar-SA"/>
        </w:rPr>
        <w:t>17.0.1</w:t>
      </w:r>
      <w:r>
        <w:rPr>
          <w:rFonts w:hint="eastAsia"/>
          <w:sz w:val="24"/>
          <w:szCs w:val="24"/>
          <w:highlight w:val="none"/>
          <w:lang w:val="en-US" w:eastAsia="zh-CN"/>
        </w:rPr>
        <w:t xml:space="preserve">  </w:t>
      </w:r>
      <w:r>
        <w:rPr>
          <w:rFonts w:hint="default"/>
          <w:sz w:val="24"/>
          <w:szCs w:val="24"/>
          <w:highlight w:val="none"/>
          <w:lang w:val="en-US" w:eastAsia="zh-CN"/>
        </w:rPr>
        <w:t>随着科技的快速发展，物联网、大数据和人工智能等前沿技术已广泛应用于各行各业，为提升服务效率和管理水平带来了显著效果。在物业管理领域，如何有效利用这些技术，构建智能化物业管理服务平台，已成为当前行业发展的重要趋势。通过智能化手段，实现物业管理的自动化、智能化，减少人力成本，提高管理效率。借助大数据和人工智能技术，对物业服务进行精准分析，为业主提供更加个性化、贴心的服务。利用物联网技术，对物业区域内的安全设施进行实时监控，确保物业环境的安全稳定。</w:t>
      </w:r>
    </w:p>
    <w:p>
      <w:pPr>
        <w:pStyle w:val="20"/>
        <w:rPr>
          <w:rFonts w:hint="default"/>
          <w:highlight w:val="none"/>
          <w:lang w:val="en-US"/>
        </w:rPr>
      </w:pPr>
    </w:p>
    <w:p>
      <w:pPr>
        <w:pStyle w:val="16"/>
        <w:rPr>
          <w:rFonts w:hint="default"/>
          <w:color w:val="auto"/>
          <w:highlight w:val="none"/>
          <w:lang w:val="en-US" w:eastAsia="zh-CN"/>
        </w:rPr>
      </w:pPr>
    </w:p>
    <w:sectPr>
      <w:headerReference r:id="rId11" w:type="default"/>
      <w:footerReference r:id="rId13" w:type="default"/>
      <w:headerReference r:id="rId12" w:type="even"/>
      <w:footerReference r:id="rId14" w:type="even"/>
      <w:pgSz w:w="11907" w:h="16839"/>
      <w:pgMar w:top="1418" w:right="1134" w:bottom="1134" w:left="1418" w:header="1418" w:footer="1134"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icrosoft JhengHei">
    <w:panose1 w:val="020B0604030504040204"/>
    <w:charset w:val="78"/>
    <w:family w:val="swiss"/>
    <w:pitch w:val="default"/>
    <w:sig w:usb0="000002A7" w:usb1="28CF4400" w:usb2="00000016" w:usb3="00000000" w:csb0="00100009"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LOJj8kBAACa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a8ocdzixC/fv11+/Lr8/Epe&#10;5v70AWpMuwuYmIa3fsDc2Q/ozLIHFW3+oiCCcezu+dpdOSQi8qP1ar2uMCQwNl8Qnz08DxHSO+kt&#10;yUZDI46vdJWfPkAaU+eUXM35W21MGaFxfzkQM3tY5j5yzFYa9sMkaO/bM+rpcfINdbjolJj3Dhub&#10;l2Q24mzsZ+MYoj50SG1ZeEF4c0xIonDLFUbYqTCOrKib1ivvxJ/3kvXw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ss4mPyQEAAJoDAAAOAAAAAAAAAAEAIAAAAB4BAABkcnMvZTJvRG9j&#10;LnhtbFBLBQYAAAAABgAGAFkBAABZBQAAAAA=&#10;">
              <v:fill on="f" focussize="0,0"/>
              <v:stroke on="f"/>
              <v:imagedata o:title=""/>
              <o:lock v:ext="edit" aspectratio="f"/>
              <v:textbox inset="0mm,0mm,0mm,0mm" style="mso-fit-shape-to-text:t;">
                <w:txbxContent>
                  <w:p>
                    <w:pPr>
                      <w:pStyle w:val="27"/>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rPr>
        <w:rStyle w:val="42"/>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default" w:ascii="Times New Roman" w:hAnsi="Times New Roman" w:eastAsia="宋体" w:cs="Times New Roman"/>
                              <w:lang w:eastAsia="zh-CN"/>
                            </w:rPr>
                          </w:pPr>
                          <w:r>
                            <w:rPr>
                              <w:rFonts w:hint="default" w:ascii="Times New Roman" w:hAnsi="Times New Roman" w:eastAsia="宋体" w:cs="Times New Roman"/>
                              <w:lang w:eastAsia="zh-CN"/>
                            </w:rPr>
                            <w:fldChar w:fldCharType="begin"/>
                          </w:r>
                          <w:r>
                            <w:rPr>
                              <w:rFonts w:hint="default" w:ascii="Times New Roman" w:hAnsi="Times New Roman" w:eastAsia="宋体" w:cs="Times New Roman"/>
                              <w:lang w:eastAsia="zh-CN"/>
                            </w:rPr>
                            <w:instrText xml:space="preserve"> PAGE  \* MERGEFORMAT </w:instrText>
                          </w:r>
                          <w:r>
                            <w:rPr>
                              <w:rFonts w:hint="default" w:ascii="Times New Roman" w:hAnsi="Times New Roman" w:eastAsia="宋体" w:cs="Times New Roman"/>
                              <w:lang w:eastAsia="zh-CN"/>
                            </w:rPr>
                            <w:fldChar w:fldCharType="separate"/>
                          </w:r>
                          <w:r>
                            <w:rPr>
                              <w:rFonts w:hint="default" w:ascii="Times New Roman" w:hAnsi="Times New Roman" w:eastAsia="宋体" w:cs="Times New Roman"/>
                              <w:lang w:eastAsia="zh-CN"/>
                            </w:rPr>
                            <w:t>I</w:t>
                          </w:r>
                          <w:r>
                            <w:rPr>
                              <w:rFonts w:hint="default" w:ascii="Times New Roman" w:hAnsi="Times New Roman" w:eastAsia="宋体" w:cs="Times New Roman"/>
                              <w:lang w:eastAsia="zh-CN"/>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cbeEskBAACa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7CixHGLE798/3b58evy8yt5&#10;nfvTB6gx7SFgYhru/IC5sx/QmWUPKtr8RUEE49jd87W7ckhE5Efr1XpdYUhgbL4gPnt8HiKkt9Jb&#10;ko2GRhxf6So/vYc0ps4puZrz99qYMkLj/nIgZvawzH3kmK007IdJ0N63Z9TT4+Qb6nDRKTHvHDY2&#10;L8lsxNnYz8YxRH3okNqy8IJwe0xIonDLFUbYqTCOrKib1ivvxJ/3kvX4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9xt4SyQEAAJoDAAAOAAAAAAAAAAEAIAAAAB4BAABkcnMvZTJvRG9j&#10;LnhtbFBLBQYAAAAABgAGAFkBAABZBQAAAAA=&#10;">
              <v:fill on="f" focussize="0,0"/>
              <v:stroke on="f"/>
              <v:imagedata o:title=""/>
              <o:lock v:ext="edit" aspectratio="f"/>
              <v:textbox inset="0mm,0mm,0mm,0mm" style="mso-fit-shape-to-text:t;">
                <w:txbxContent>
                  <w:p>
                    <w:pPr>
                      <w:pStyle w:val="27"/>
                      <w:rPr>
                        <w:rFonts w:hint="default" w:ascii="Times New Roman" w:hAnsi="Times New Roman" w:eastAsia="宋体" w:cs="Times New Roman"/>
                        <w:lang w:eastAsia="zh-CN"/>
                      </w:rPr>
                    </w:pPr>
                    <w:r>
                      <w:rPr>
                        <w:rFonts w:hint="default" w:ascii="Times New Roman" w:hAnsi="Times New Roman" w:eastAsia="宋体" w:cs="Times New Roman"/>
                        <w:lang w:eastAsia="zh-CN"/>
                      </w:rPr>
                      <w:fldChar w:fldCharType="begin"/>
                    </w:r>
                    <w:r>
                      <w:rPr>
                        <w:rFonts w:hint="default" w:ascii="Times New Roman" w:hAnsi="Times New Roman" w:eastAsia="宋体" w:cs="Times New Roman"/>
                        <w:lang w:eastAsia="zh-CN"/>
                      </w:rPr>
                      <w:instrText xml:space="preserve"> PAGE  \* MERGEFORMAT </w:instrText>
                    </w:r>
                    <w:r>
                      <w:rPr>
                        <w:rFonts w:hint="default" w:ascii="Times New Roman" w:hAnsi="Times New Roman" w:eastAsia="宋体" w:cs="Times New Roman"/>
                        <w:lang w:eastAsia="zh-CN"/>
                      </w:rPr>
                      <w:fldChar w:fldCharType="separate"/>
                    </w:r>
                    <w:r>
                      <w:rPr>
                        <w:rFonts w:hint="default" w:ascii="Times New Roman" w:hAnsi="Times New Roman" w:eastAsia="宋体" w:cs="Times New Roman"/>
                        <w:lang w:eastAsia="zh-CN"/>
                      </w:rPr>
                      <w:t>I</w:t>
                    </w:r>
                    <w:r>
                      <w:rPr>
                        <w:rFonts w:hint="default" w:ascii="Times New Roman" w:hAnsi="Times New Roman" w:eastAsia="宋体" w:cs="Times New Roman"/>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I</w:t>
                          </w:r>
                          <w:r>
                            <w:rPr>
                              <w:rFonts w:hint="default" w:ascii="Times New Roman" w:hAnsi="Times New Roman" w:eastAsia="宋体" w:cs="Times New Roman"/>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wduskBAACa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rFTbihxHGLE7/8+H75+fvy6xt5&#10;nfvTB6gx7T5gYhre+gFzZz+gM8seVLT5i4IIxrG752t35ZCIyI/Wq/W6wpDA2HxBfPbwPERI76S3&#10;JBsNjTi+0lV++gBpTJ1TcjXn77QxZYTG/eVAzOxhmfvIMVtp2A+ToL1vz6inx8k31OGiU2LeO2xs&#10;XpLZiLOxn41jiPrQIbVl4QXhzTEhicItVxhhp8I4sqJuWq+8E4/vJevhl9r+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4DB26yQEAAJoDAAAOAAAAAAAAAAEAIAAAAB4BAABkcnMvZTJvRG9j&#10;LnhtbFBLBQYAAAAABgAGAFkBAABZBQAAAAA=&#10;">
              <v:fill on="f" focussize="0,0"/>
              <v:stroke on="f"/>
              <v:imagedata o:title=""/>
              <o:lock v:ext="edit" aspectratio="f"/>
              <v:textbox inset="0mm,0mm,0mm,0mm" style="mso-fit-shape-to-text:t;">
                <w:txbxContent>
                  <w:p>
                    <w:pPr>
                      <w:pStyle w:val="27"/>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I</w:t>
                    </w:r>
                    <w:r>
                      <w:rPr>
                        <w:rFonts w:hint="default" w:ascii="Times New Roman" w:hAnsi="Times New Roman" w:eastAsia="宋体" w:cs="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rPr>
                              <w:i w:val="0"/>
                              <w:iCs w:val="0"/>
                              <w:sz w:val="21"/>
                              <w:szCs w:val="21"/>
                            </w:rPr>
                          </w:pPr>
                          <w:r>
                            <w:rPr>
                              <w:i w:val="0"/>
                              <w:iCs w:val="0"/>
                              <w:sz w:val="21"/>
                              <w:szCs w:val="21"/>
                            </w:rPr>
                            <w:fldChar w:fldCharType="begin"/>
                          </w:r>
                          <w:r>
                            <w:rPr>
                              <w:i w:val="0"/>
                              <w:iCs w:val="0"/>
                              <w:sz w:val="21"/>
                              <w:szCs w:val="21"/>
                            </w:rPr>
                            <w:instrText xml:space="preserve"> PAGE  \* MERGEFORMAT </w:instrText>
                          </w:r>
                          <w:r>
                            <w:rPr>
                              <w:i w:val="0"/>
                              <w:iCs w:val="0"/>
                              <w:sz w:val="21"/>
                              <w:szCs w:val="21"/>
                            </w:rPr>
                            <w:fldChar w:fldCharType="separate"/>
                          </w:r>
                          <w:r>
                            <w:rPr>
                              <w:i w:val="0"/>
                              <w:iCs w:val="0"/>
                              <w:sz w:val="21"/>
                              <w:szCs w:val="21"/>
                            </w:rPr>
                            <w:t>III</w:t>
                          </w:r>
                          <w:r>
                            <w:rPr>
                              <w:i w:val="0"/>
                              <w:iCs w:val="0"/>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7"/>
                      <w:rPr>
                        <w:i w:val="0"/>
                        <w:iCs w:val="0"/>
                        <w:sz w:val="21"/>
                        <w:szCs w:val="21"/>
                      </w:rPr>
                    </w:pPr>
                    <w:r>
                      <w:rPr>
                        <w:i w:val="0"/>
                        <w:iCs w:val="0"/>
                        <w:sz w:val="21"/>
                        <w:szCs w:val="21"/>
                      </w:rPr>
                      <w:fldChar w:fldCharType="begin"/>
                    </w:r>
                    <w:r>
                      <w:rPr>
                        <w:i w:val="0"/>
                        <w:iCs w:val="0"/>
                        <w:sz w:val="21"/>
                        <w:szCs w:val="21"/>
                      </w:rPr>
                      <w:instrText xml:space="preserve"> PAGE  \* MERGEFORMAT </w:instrText>
                    </w:r>
                    <w:r>
                      <w:rPr>
                        <w:i w:val="0"/>
                        <w:iCs w:val="0"/>
                        <w:sz w:val="21"/>
                        <w:szCs w:val="21"/>
                      </w:rPr>
                      <w:fldChar w:fldCharType="separate"/>
                    </w:r>
                    <w:r>
                      <w:rPr>
                        <w:i w:val="0"/>
                        <w:iCs w:val="0"/>
                        <w:sz w:val="21"/>
                        <w:szCs w:val="21"/>
                      </w:rPr>
                      <w:t>III</w:t>
                    </w:r>
                    <w:r>
                      <w:rPr>
                        <w:i w:val="0"/>
                        <w:iCs w:val="0"/>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rPr>
                              <w:i w:val="0"/>
                              <w:iCs w:val="0"/>
                              <w:sz w:val="21"/>
                              <w:szCs w:val="21"/>
                            </w:rPr>
                          </w:pPr>
                          <w:r>
                            <w:rPr>
                              <w:i w:val="0"/>
                              <w:iCs w:val="0"/>
                              <w:sz w:val="21"/>
                              <w:szCs w:val="21"/>
                            </w:rPr>
                            <w:fldChar w:fldCharType="begin"/>
                          </w:r>
                          <w:r>
                            <w:rPr>
                              <w:i w:val="0"/>
                              <w:iCs w:val="0"/>
                              <w:sz w:val="21"/>
                              <w:szCs w:val="21"/>
                            </w:rPr>
                            <w:instrText xml:space="preserve"> PAGE  \* MERGEFORMAT </w:instrText>
                          </w:r>
                          <w:r>
                            <w:rPr>
                              <w:i w:val="0"/>
                              <w:iCs w:val="0"/>
                              <w:sz w:val="21"/>
                              <w:szCs w:val="21"/>
                            </w:rPr>
                            <w:fldChar w:fldCharType="separate"/>
                          </w:r>
                          <w:r>
                            <w:rPr>
                              <w:i w:val="0"/>
                              <w:iCs w:val="0"/>
                              <w:sz w:val="21"/>
                              <w:szCs w:val="21"/>
                            </w:rPr>
                            <w:t>II</w:t>
                          </w:r>
                          <w:r>
                            <w:rPr>
                              <w:i w:val="0"/>
                              <w:iCs w:val="0"/>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7"/>
                      <w:rPr>
                        <w:i w:val="0"/>
                        <w:iCs w:val="0"/>
                        <w:sz w:val="21"/>
                        <w:szCs w:val="21"/>
                      </w:rPr>
                    </w:pPr>
                    <w:r>
                      <w:rPr>
                        <w:i w:val="0"/>
                        <w:iCs w:val="0"/>
                        <w:sz w:val="21"/>
                        <w:szCs w:val="21"/>
                      </w:rPr>
                      <w:fldChar w:fldCharType="begin"/>
                    </w:r>
                    <w:r>
                      <w:rPr>
                        <w:i w:val="0"/>
                        <w:iCs w:val="0"/>
                        <w:sz w:val="21"/>
                        <w:szCs w:val="21"/>
                      </w:rPr>
                      <w:instrText xml:space="preserve"> PAGE  \* MERGEFORMAT </w:instrText>
                    </w:r>
                    <w:r>
                      <w:rPr>
                        <w:i w:val="0"/>
                        <w:iCs w:val="0"/>
                        <w:sz w:val="21"/>
                        <w:szCs w:val="21"/>
                      </w:rPr>
                      <w:fldChar w:fldCharType="separate"/>
                    </w:r>
                    <w:r>
                      <w:rPr>
                        <w:i w:val="0"/>
                        <w:iCs w:val="0"/>
                        <w:sz w:val="21"/>
                        <w:szCs w:val="21"/>
                      </w:rPr>
                      <w:t>II</w:t>
                    </w:r>
                    <w:r>
                      <w:rPr>
                        <w:i w:val="0"/>
                        <w:iCs w:val="0"/>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rPr>
        <w:rStyle w:val="42"/>
      </w:rP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LVI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LVI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default" w:ascii="黑体" w:eastAsia="黑体"/>
        <w:spacing w:val="1"/>
        <w:kern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left"/>
      <w:rPr>
        <w:rFonts w:hint="eastAsia" w:ascii="黑体" w:eastAsia="黑体"/>
        <w:color w:val="000000"/>
        <w:spacing w:val="1"/>
        <w:kern w:val="0"/>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jc w:val="right"/>
      <w:rPr>
        <w:rFonts w:hint="eastAsia" w:ascii="黑体" w:eastAsia="黑体"/>
        <w:color w:val="000000"/>
        <w:spacing w:val="1"/>
        <w:kern w:val="0"/>
        <w:sz w:val="21"/>
        <w:szCs w:val="21"/>
        <w:highlight w:val="yellow"/>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left"/>
      <w:rPr>
        <w:rFonts w:hint="eastAsia" w:ascii="黑体" w:eastAsia="黑体"/>
        <w:color w:val="000000"/>
        <w:spacing w:val="1"/>
        <w:kern w:val="0"/>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none"/>
      <w:suff w:val="nothing"/>
      <w:lvlText w:val=""/>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6"/>
      <w:suff w:val="nothing"/>
      <w:lvlText w:val="%1%2.%3　"/>
      <w:lvlJc w:val="left"/>
      <w:pPr>
        <w:ind w:left="0" w:firstLine="0"/>
      </w:pPr>
      <w:rPr>
        <w:rFonts w:hint="eastAsia" w:ascii="黑体" w:hAnsi="Times New Roman" w:eastAsia="黑体"/>
        <w:b w:val="0"/>
        <w:i w:val="0"/>
        <w:sz w:val="21"/>
      </w:rPr>
    </w:lvl>
    <w:lvl w:ilvl="3" w:tentative="0">
      <w:start w:val="1"/>
      <w:numFmt w:val="decimal"/>
      <w:pStyle w:val="80"/>
      <w:suff w:val="nothing"/>
      <w:lvlText w:val="%1%2.%3.%4　"/>
      <w:lvlJc w:val="left"/>
      <w:pPr>
        <w:ind w:left="0" w:firstLine="0"/>
      </w:pPr>
      <w:rPr>
        <w:rFonts w:hint="eastAsia" w:ascii="黑体" w:hAnsi="Times New Roman" w:eastAsia="黑体"/>
        <w:b w:val="0"/>
        <w:i w:val="0"/>
        <w:sz w:val="21"/>
      </w:rPr>
    </w:lvl>
    <w:lvl w:ilvl="4" w:tentative="0">
      <w:start w:val="1"/>
      <w:numFmt w:val="decimal"/>
      <w:pStyle w:val="116"/>
      <w:suff w:val="nothing"/>
      <w:lvlText w:val="%1%2.%3.%4.%5　"/>
      <w:lvlJc w:val="left"/>
      <w:pPr>
        <w:ind w:left="0" w:firstLine="0"/>
      </w:pPr>
      <w:rPr>
        <w:rFonts w:hint="eastAsia" w:ascii="黑体" w:hAnsi="Times New Roman" w:eastAsia="黑体"/>
        <w:b w:val="0"/>
        <w:i w:val="0"/>
        <w:sz w:val="21"/>
      </w:rPr>
    </w:lvl>
    <w:lvl w:ilvl="5" w:tentative="0">
      <w:start w:val="1"/>
      <w:numFmt w:val="decimal"/>
      <w:pStyle w:val="85"/>
      <w:suff w:val="nothing"/>
      <w:lvlText w:val="%1%2.%3.%4.%5.%6　"/>
      <w:lvlJc w:val="left"/>
      <w:pPr>
        <w:ind w:left="0" w:firstLine="0"/>
      </w:pPr>
      <w:rPr>
        <w:rFonts w:hint="eastAsia" w:ascii="黑体" w:hAnsi="Times New Roman" w:eastAsia="黑体"/>
        <w:b w:val="0"/>
        <w:i w:val="0"/>
        <w:sz w:val="21"/>
      </w:rPr>
    </w:lvl>
    <w:lvl w:ilvl="6" w:tentative="0">
      <w:start w:val="1"/>
      <w:numFmt w:val="decimal"/>
      <w:pStyle w:val="12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F"/>
    <w:multiLevelType w:val="multilevel"/>
    <w:tmpl w:val="0000000F"/>
    <w:lvl w:ilvl="0" w:tentative="0">
      <w:start w:val="1"/>
      <w:numFmt w:val="none"/>
      <w:pStyle w:val="94"/>
      <w:lvlText w:val=""/>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3"/>
    <w:multiLevelType w:val="multilevel"/>
    <w:tmpl w:val="00000013"/>
    <w:lvl w:ilvl="0" w:tentative="0">
      <w:start w:val="1"/>
      <w:numFmt w:val="lowerLetter"/>
      <w:pStyle w:val="128"/>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00000014"/>
    <w:multiLevelType w:val="multilevel"/>
    <w:tmpl w:val="00000014"/>
    <w:lvl w:ilvl="0" w:tentative="0">
      <w:start w:val="1"/>
      <w:numFmt w:val="none"/>
      <w:pStyle w:val="111"/>
      <w:lvlText w:val=""/>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5"/>
    <w:multiLevelType w:val="multilevel"/>
    <w:tmpl w:val="00000015"/>
    <w:lvl w:ilvl="0" w:tentative="0">
      <w:start w:val="1"/>
      <w:numFmt w:val="none"/>
      <w:pStyle w:val="87"/>
      <w:lvlText w:val=""/>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8"/>
    <w:multiLevelType w:val="multilevel"/>
    <w:tmpl w:val="00000018"/>
    <w:lvl w:ilvl="0" w:tentative="0">
      <w:start w:val="1"/>
      <w:numFmt w:val="none"/>
      <w:pStyle w:val="113"/>
      <w:lvlText w:val=""/>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9"/>
    <w:multiLevelType w:val="multilevel"/>
    <w:tmpl w:val="00000019"/>
    <w:lvl w:ilvl="0" w:tentative="0">
      <w:start w:val="1"/>
      <w:numFmt w:val="none"/>
      <w:pStyle w:val="115"/>
      <w:lvlText w:val=""/>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A"/>
    <w:multiLevelType w:val="multilevel"/>
    <w:tmpl w:val="0000001A"/>
    <w:lvl w:ilvl="0" w:tentative="0">
      <w:start w:val="1"/>
      <w:numFmt w:val="decimal"/>
      <w:pStyle w:val="10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1D"/>
    <w:multiLevelType w:val="multilevel"/>
    <w:tmpl w:val="0000001D"/>
    <w:lvl w:ilvl="0" w:tentative="0">
      <w:start w:val="1"/>
      <w:numFmt w:val="none"/>
      <w:pStyle w:val="125"/>
      <w:lvlText w:val=""/>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F"/>
    <w:multiLevelType w:val="multilevel"/>
    <w:tmpl w:val="0000001F"/>
    <w:lvl w:ilvl="0" w:tentative="0">
      <w:start w:val="1"/>
      <w:numFmt w:val="decimal"/>
      <w:pStyle w:val="9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00000020"/>
    <w:multiLevelType w:val="multilevel"/>
    <w:tmpl w:val="00000020"/>
    <w:lvl w:ilvl="0" w:tentative="0">
      <w:start w:val="1"/>
      <w:numFmt w:val="upperLetter"/>
      <w:pStyle w:val="88"/>
      <w:suff w:val="nothing"/>
      <w:lvlText w:val="附　录　%1"/>
      <w:lvlJc w:val="left"/>
      <w:pPr>
        <w:ind w:left="0" w:firstLine="0"/>
      </w:pPr>
      <w:rPr>
        <w:rFonts w:hint="eastAsia" w:ascii="黑体" w:hAnsi="Times New Roman" w:eastAsia="黑体"/>
        <w:b w:val="0"/>
        <w:i w:val="0"/>
        <w:sz w:val="21"/>
      </w:rPr>
    </w:lvl>
    <w:lvl w:ilvl="1" w:tentative="0">
      <w:start w:val="1"/>
      <w:numFmt w:val="decimal"/>
      <w:pStyle w:val="96"/>
      <w:suff w:val="nothing"/>
      <w:lvlText w:val="%1.%2　"/>
      <w:lvlJc w:val="left"/>
      <w:pPr>
        <w:ind w:left="315" w:firstLine="0"/>
      </w:pPr>
      <w:rPr>
        <w:rFonts w:hint="eastAsia" w:ascii="黑体" w:hAnsi="Times New Roman" w:eastAsia="黑体"/>
        <w:b w:val="0"/>
        <w:i w:val="0"/>
        <w:snapToGrid/>
        <w:spacing w:val="0"/>
        <w:w w:val="100"/>
        <w:kern w:val="21"/>
        <w:sz w:val="21"/>
      </w:rPr>
    </w:lvl>
    <w:lvl w:ilvl="2" w:tentative="0">
      <w:start w:val="1"/>
      <w:numFmt w:val="decimal"/>
      <w:pStyle w:val="97"/>
      <w:suff w:val="nothing"/>
      <w:lvlText w:val="%1.%2.%3　"/>
      <w:lvlJc w:val="left"/>
      <w:pPr>
        <w:ind w:left="0" w:firstLine="0"/>
      </w:pPr>
      <w:rPr>
        <w:rFonts w:hint="eastAsia" w:ascii="黑体" w:hAnsi="Times New Roman" w:eastAsia="黑体"/>
        <w:b w:val="0"/>
        <w:i w:val="0"/>
        <w:sz w:val="21"/>
      </w:rPr>
    </w:lvl>
    <w:lvl w:ilvl="3" w:tentative="0">
      <w:start w:val="1"/>
      <w:numFmt w:val="decimal"/>
      <w:pStyle w:val="98"/>
      <w:suff w:val="nothing"/>
      <w:lvlText w:val="%1.%2.%3.%4　"/>
      <w:lvlJc w:val="left"/>
      <w:pPr>
        <w:ind w:left="0" w:firstLine="0"/>
      </w:pPr>
      <w:rPr>
        <w:rFonts w:hint="eastAsia" w:ascii="黑体" w:hAnsi="Times New Roman" w:eastAsia="黑体"/>
        <w:b w:val="0"/>
        <w:i w:val="0"/>
        <w:sz w:val="21"/>
      </w:rPr>
    </w:lvl>
    <w:lvl w:ilvl="4" w:tentative="0">
      <w:start w:val="1"/>
      <w:numFmt w:val="decimal"/>
      <w:pStyle w:val="99"/>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00000021"/>
    <w:multiLevelType w:val="multilevel"/>
    <w:tmpl w:val="00000021"/>
    <w:lvl w:ilvl="0" w:tentative="0">
      <w:start w:val="1"/>
      <w:numFmt w:val="none"/>
      <w:pStyle w:val="58"/>
      <w:suff w:val="nothing"/>
      <w:lvlText w:val=""/>
      <w:lvlJc w:val="left"/>
      <w:pPr>
        <w:ind w:left="0" w:firstLine="0"/>
      </w:pPr>
      <w:rPr>
        <w:rFonts w:hint="default" w:ascii="Times New Roman" w:hAnsi="Times New Roman"/>
        <w:b/>
        <w:i w:val="0"/>
        <w:sz w:val="21"/>
      </w:rPr>
    </w:lvl>
    <w:lvl w:ilvl="1" w:tentative="0">
      <w:start w:val="1"/>
      <w:numFmt w:val="decimal"/>
      <w:pStyle w:val="62"/>
      <w:suff w:val="nothing"/>
      <w:lvlText w:val="%1%2　"/>
      <w:lvlJc w:val="left"/>
      <w:pPr>
        <w:ind w:left="0" w:firstLine="0"/>
      </w:pPr>
      <w:rPr>
        <w:rFonts w:hint="eastAsia" w:ascii="黑体" w:hAnsi="Times New Roman" w:eastAsia="黑体"/>
        <w:b w:val="0"/>
        <w:i w:val="0"/>
        <w:sz w:val="21"/>
      </w:rPr>
    </w:lvl>
    <w:lvl w:ilvl="2" w:tentative="0">
      <w:start w:val="1"/>
      <w:numFmt w:val="decimal"/>
      <w:pStyle w:val="63"/>
      <w:suff w:val="nothing"/>
      <w:lvlText w:val="%1%2.%3　"/>
      <w:lvlJc w:val="left"/>
      <w:pPr>
        <w:ind w:left="1575" w:firstLine="0"/>
      </w:pPr>
      <w:rPr>
        <w:rFonts w:hint="eastAsia" w:ascii="宋体" w:hAnsi="宋体" w:eastAsia="宋体"/>
        <w:b w:val="0"/>
        <w:i w:val="0"/>
        <w:color w:val="000000"/>
        <w:sz w:val="21"/>
      </w:rPr>
    </w:lvl>
    <w:lvl w:ilvl="3" w:tentative="0">
      <w:start w:val="1"/>
      <w:numFmt w:val="decimal"/>
      <w:pStyle w:val="78"/>
      <w:suff w:val="nothing"/>
      <w:lvlText w:val="%1%2.%3.%4　"/>
      <w:lvlJc w:val="left"/>
      <w:pPr>
        <w:ind w:left="735" w:firstLine="0"/>
      </w:pPr>
      <w:rPr>
        <w:rFonts w:hint="eastAsia" w:ascii="黑体" w:hAnsi="Times New Roman" w:eastAsia="黑体"/>
        <w:b w:val="0"/>
        <w:i w:val="0"/>
        <w:sz w:val="21"/>
      </w:rPr>
    </w:lvl>
    <w:lvl w:ilvl="4" w:tentative="0">
      <w:start w:val="1"/>
      <w:numFmt w:val="decimal"/>
      <w:pStyle w:val="68"/>
      <w:suff w:val="nothing"/>
      <w:lvlText w:val="%1%2.%3.%4.%5　"/>
      <w:lvlJc w:val="left"/>
      <w:pPr>
        <w:ind w:left="105" w:firstLine="0"/>
      </w:pPr>
      <w:rPr>
        <w:rFonts w:hint="eastAsia" w:ascii="黑体" w:hAnsi="Times New Roman" w:eastAsia="黑体"/>
        <w:b w:val="0"/>
        <w:i w:val="0"/>
        <w:sz w:val="21"/>
      </w:rPr>
    </w:lvl>
    <w:lvl w:ilvl="5" w:tentative="0">
      <w:start w:val="1"/>
      <w:numFmt w:val="decimal"/>
      <w:pStyle w:val="103"/>
      <w:suff w:val="nothing"/>
      <w:lvlText w:val="%1%2.%3.%4.%5.%6　"/>
      <w:lvlJc w:val="left"/>
      <w:pPr>
        <w:ind w:left="0" w:firstLine="0"/>
      </w:pPr>
      <w:rPr>
        <w:rFonts w:hint="eastAsia" w:ascii="黑体" w:hAnsi="Times New Roman" w:eastAsia="黑体"/>
        <w:b w:val="0"/>
        <w:i w:val="0"/>
        <w:sz w:val="21"/>
      </w:rPr>
    </w:lvl>
    <w:lvl w:ilvl="6" w:tentative="0">
      <w:start w:val="1"/>
      <w:numFmt w:val="decimal"/>
      <w:pStyle w:val="10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00000022"/>
    <w:multiLevelType w:val="multilevel"/>
    <w:tmpl w:val="00000022"/>
    <w:lvl w:ilvl="0" w:tentative="0">
      <w:start w:val="1"/>
      <w:numFmt w:val="none"/>
      <w:pStyle w:val="112"/>
      <w:lvlText w:val=""/>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24"/>
    <w:multiLevelType w:val="multilevel"/>
    <w:tmpl w:val="00000024"/>
    <w:lvl w:ilvl="0" w:tentative="0">
      <w:start w:val="1"/>
      <w:numFmt w:val="none"/>
      <w:pStyle w:val="86"/>
      <w:lvlText w:val=""/>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C541AEA"/>
    <w:multiLevelType w:val="multilevel"/>
    <w:tmpl w:val="0C541AEA"/>
    <w:lvl w:ilvl="0" w:tentative="0">
      <w:start w:val="1"/>
      <w:numFmt w:val="decimal"/>
      <w:suff w:val="space"/>
      <w:lvlText w:val="%1"/>
      <w:lvlJc w:val="left"/>
      <w:pPr>
        <w:ind w:left="0" w:firstLine="0"/>
      </w:pPr>
      <w:rPr>
        <w:rFonts w:hint="eastAsia"/>
        <w:lang w:bidi="zh-CN"/>
      </w:rPr>
    </w:lvl>
    <w:lvl w:ilvl="1" w:tentative="0">
      <w:start w:val="0"/>
      <w:numFmt w:val="decimal"/>
      <w:suff w:val="space"/>
      <w:lvlText w:val="%1.%2"/>
      <w:lvlJc w:val="left"/>
      <w:pPr>
        <w:ind w:left="0" w:firstLine="0"/>
      </w:pPr>
      <w:rPr>
        <w:rFonts w:hint="eastAsia"/>
      </w:rPr>
    </w:lvl>
    <w:lvl w:ilvl="2" w:tentative="0">
      <w:start w:val="1"/>
      <w:numFmt w:val="decimal"/>
      <w:pStyle w:val="129"/>
      <w:suff w:val="space"/>
      <w:lvlText w:val="%1.%2.%3"/>
      <w:lvlJc w:val="left"/>
      <w:pPr>
        <w:ind w:left="568" w:firstLine="0"/>
      </w:pPr>
      <w:rPr>
        <w:rFonts w:hint="default" w:ascii="Times New Roman" w:hAnsi="Times New Roman"/>
        <w:b/>
        <w:i w:val="0"/>
      </w:rPr>
    </w:lvl>
    <w:lvl w:ilvl="3" w:tentative="0">
      <w:start w:val="1"/>
      <w:numFmt w:val="decimal"/>
      <w:suff w:val="space"/>
      <w:lvlText w:val="%1.%2.%3.%4"/>
      <w:lvlJc w:val="left"/>
      <w:pPr>
        <w:ind w:left="0" w:firstLine="0"/>
      </w:pPr>
      <w:rPr>
        <w:rFonts w:hint="eastAsia"/>
      </w:rPr>
    </w:lvl>
    <w:lvl w:ilvl="4" w:tentative="0">
      <w:start w:val="1"/>
      <w:numFmt w:val="none"/>
      <w:lvlRestart w:val="0"/>
      <w:suff w:val="space"/>
      <w:lvlText w:val="表%1.%2.%3"/>
      <w:lvlJc w:val="center"/>
      <w:pPr>
        <w:ind w:left="0" w:firstLine="288"/>
      </w:pPr>
      <w:rPr>
        <w:rFonts w:hint="eastAsia"/>
        <w:lang w:val="en-US"/>
      </w:rPr>
    </w:lvl>
    <w:lvl w:ilvl="5" w:tentative="0">
      <w:start w:val="1"/>
      <w:numFmt w:val="none"/>
      <w:lvlRestart w:val="0"/>
      <w:suff w:val="space"/>
      <w:lvlText w:val="图%1.%2.%3"/>
      <w:lvlJc w:val="center"/>
      <w:pPr>
        <w:ind w:left="0" w:firstLine="288"/>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1"/>
  </w:num>
  <w:num w:numId="2">
    <w:abstractNumId w:val="0"/>
  </w:num>
  <w:num w:numId="3">
    <w:abstractNumId w:val="13"/>
  </w:num>
  <w:num w:numId="4">
    <w:abstractNumId w:val="4"/>
  </w:num>
  <w:num w:numId="5">
    <w:abstractNumId w:val="10"/>
  </w:num>
  <w:num w:numId="6">
    <w:abstractNumId w:val="9"/>
  </w:num>
  <w:num w:numId="7">
    <w:abstractNumId w:val="1"/>
  </w:num>
  <w:num w:numId="8">
    <w:abstractNumId w:val="7"/>
  </w:num>
  <w:num w:numId="9">
    <w:abstractNumId w:val="3"/>
  </w:num>
  <w:num w:numId="10">
    <w:abstractNumId w:val="12"/>
  </w:num>
  <w:num w:numId="11">
    <w:abstractNumId w:val="5"/>
  </w:num>
  <w:num w:numId="12">
    <w:abstractNumId w:val="6"/>
  </w:num>
  <w:num w:numId="13">
    <w:abstractNumId w:val="8"/>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80"/>
  <w:hyphenationZone w:val="360"/>
  <w:evenAndOddHeaders w:val="1"/>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hZDU5Nzc0MWRjZjgzYTk5MjI0N2JhZjg4OWRhMWIifQ=="/>
  </w:docVars>
  <w:rsids>
    <w:rsidRoot w:val="00172A27"/>
    <w:rsid w:val="00001725"/>
    <w:rsid w:val="0000214A"/>
    <w:rsid w:val="00002C4F"/>
    <w:rsid w:val="00003BE2"/>
    <w:rsid w:val="00003F9F"/>
    <w:rsid w:val="0000418B"/>
    <w:rsid w:val="0000490D"/>
    <w:rsid w:val="00005E3A"/>
    <w:rsid w:val="00005E79"/>
    <w:rsid w:val="00006259"/>
    <w:rsid w:val="00006309"/>
    <w:rsid w:val="00007412"/>
    <w:rsid w:val="00010D34"/>
    <w:rsid w:val="0001167D"/>
    <w:rsid w:val="00011736"/>
    <w:rsid w:val="0001198C"/>
    <w:rsid w:val="00012C1F"/>
    <w:rsid w:val="00013580"/>
    <w:rsid w:val="0001384C"/>
    <w:rsid w:val="00015A2D"/>
    <w:rsid w:val="00015A3A"/>
    <w:rsid w:val="000168B6"/>
    <w:rsid w:val="00016CE2"/>
    <w:rsid w:val="00016D56"/>
    <w:rsid w:val="0001745F"/>
    <w:rsid w:val="00017B86"/>
    <w:rsid w:val="000206E1"/>
    <w:rsid w:val="00021205"/>
    <w:rsid w:val="000213D4"/>
    <w:rsid w:val="00021C44"/>
    <w:rsid w:val="00022164"/>
    <w:rsid w:val="00023106"/>
    <w:rsid w:val="000234DF"/>
    <w:rsid w:val="000244D4"/>
    <w:rsid w:val="00024D50"/>
    <w:rsid w:val="00025815"/>
    <w:rsid w:val="00025B87"/>
    <w:rsid w:val="00026BAB"/>
    <w:rsid w:val="00027D87"/>
    <w:rsid w:val="00030516"/>
    <w:rsid w:val="0003062B"/>
    <w:rsid w:val="00030675"/>
    <w:rsid w:val="00032164"/>
    <w:rsid w:val="000328F3"/>
    <w:rsid w:val="00033235"/>
    <w:rsid w:val="00034326"/>
    <w:rsid w:val="00034B80"/>
    <w:rsid w:val="000355A3"/>
    <w:rsid w:val="00035912"/>
    <w:rsid w:val="00035C60"/>
    <w:rsid w:val="00035DD9"/>
    <w:rsid w:val="00035E5E"/>
    <w:rsid w:val="00036BC8"/>
    <w:rsid w:val="000371EF"/>
    <w:rsid w:val="000372D6"/>
    <w:rsid w:val="000377C5"/>
    <w:rsid w:val="0003797D"/>
    <w:rsid w:val="00037EDF"/>
    <w:rsid w:val="00040458"/>
    <w:rsid w:val="000406A8"/>
    <w:rsid w:val="00041076"/>
    <w:rsid w:val="000418B8"/>
    <w:rsid w:val="00041933"/>
    <w:rsid w:val="000426E9"/>
    <w:rsid w:val="00042B39"/>
    <w:rsid w:val="00042D68"/>
    <w:rsid w:val="00043D01"/>
    <w:rsid w:val="00043E63"/>
    <w:rsid w:val="000442C8"/>
    <w:rsid w:val="00044B2E"/>
    <w:rsid w:val="00044EED"/>
    <w:rsid w:val="00045024"/>
    <w:rsid w:val="00045292"/>
    <w:rsid w:val="00045FFF"/>
    <w:rsid w:val="00046249"/>
    <w:rsid w:val="00047CB0"/>
    <w:rsid w:val="0005000F"/>
    <w:rsid w:val="00050093"/>
    <w:rsid w:val="0005069A"/>
    <w:rsid w:val="00050A6E"/>
    <w:rsid w:val="00050C83"/>
    <w:rsid w:val="00050CDB"/>
    <w:rsid w:val="00051F19"/>
    <w:rsid w:val="0005222D"/>
    <w:rsid w:val="00052C37"/>
    <w:rsid w:val="0005345A"/>
    <w:rsid w:val="0005347F"/>
    <w:rsid w:val="00054550"/>
    <w:rsid w:val="00054882"/>
    <w:rsid w:val="00054930"/>
    <w:rsid w:val="000557BF"/>
    <w:rsid w:val="0005582D"/>
    <w:rsid w:val="000559D8"/>
    <w:rsid w:val="00055D0C"/>
    <w:rsid w:val="00056A02"/>
    <w:rsid w:val="00060342"/>
    <w:rsid w:val="000609EA"/>
    <w:rsid w:val="00060DC6"/>
    <w:rsid w:val="000613BE"/>
    <w:rsid w:val="00061EF3"/>
    <w:rsid w:val="00062ABD"/>
    <w:rsid w:val="00062B14"/>
    <w:rsid w:val="000635DC"/>
    <w:rsid w:val="000642A0"/>
    <w:rsid w:val="00065062"/>
    <w:rsid w:val="00065A0F"/>
    <w:rsid w:val="00065C68"/>
    <w:rsid w:val="0006719C"/>
    <w:rsid w:val="00067600"/>
    <w:rsid w:val="000679E5"/>
    <w:rsid w:val="00070FFC"/>
    <w:rsid w:val="000710A7"/>
    <w:rsid w:val="000712C3"/>
    <w:rsid w:val="000717BB"/>
    <w:rsid w:val="0007181C"/>
    <w:rsid w:val="0007440D"/>
    <w:rsid w:val="000746CD"/>
    <w:rsid w:val="00074A8D"/>
    <w:rsid w:val="00074AE0"/>
    <w:rsid w:val="00074D51"/>
    <w:rsid w:val="000751F7"/>
    <w:rsid w:val="00075CA7"/>
    <w:rsid w:val="000762B4"/>
    <w:rsid w:val="000765F6"/>
    <w:rsid w:val="00076A8C"/>
    <w:rsid w:val="00076FCD"/>
    <w:rsid w:val="00077989"/>
    <w:rsid w:val="000779CB"/>
    <w:rsid w:val="00077A6B"/>
    <w:rsid w:val="00080587"/>
    <w:rsid w:val="00080D3C"/>
    <w:rsid w:val="00080DB1"/>
    <w:rsid w:val="00080E33"/>
    <w:rsid w:val="0008101A"/>
    <w:rsid w:val="00081E1F"/>
    <w:rsid w:val="000855A3"/>
    <w:rsid w:val="00085CC0"/>
    <w:rsid w:val="0008639F"/>
    <w:rsid w:val="00086899"/>
    <w:rsid w:val="0008718D"/>
    <w:rsid w:val="000873B6"/>
    <w:rsid w:val="00090491"/>
    <w:rsid w:val="00090942"/>
    <w:rsid w:val="00090AE5"/>
    <w:rsid w:val="00091231"/>
    <w:rsid w:val="000913C1"/>
    <w:rsid w:val="00092023"/>
    <w:rsid w:val="000932B5"/>
    <w:rsid w:val="000941AA"/>
    <w:rsid w:val="00094245"/>
    <w:rsid w:val="00094CD5"/>
    <w:rsid w:val="00094E32"/>
    <w:rsid w:val="00094FBF"/>
    <w:rsid w:val="00095084"/>
    <w:rsid w:val="00095F8B"/>
    <w:rsid w:val="0009607F"/>
    <w:rsid w:val="00096360"/>
    <w:rsid w:val="000967F2"/>
    <w:rsid w:val="0009752A"/>
    <w:rsid w:val="00097651"/>
    <w:rsid w:val="000978A2"/>
    <w:rsid w:val="000A0862"/>
    <w:rsid w:val="000A1FD2"/>
    <w:rsid w:val="000A25DA"/>
    <w:rsid w:val="000A2BBA"/>
    <w:rsid w:val="000A2E4D"/>
    <w:rsid w:val="000A335A"/>
    <w:rsid w:val="000A35B4"/>
    <w:rsid w:val="000A3A9E"/>
    <w:rsid w:val="000A3C62"/>
    <w:rsid w:val="000A4415"/>
    <w:rsid w:val="000A47C7"/>
    <w:rsid w:val="000A5328"/>
    <w:rsid w:val="000A56E5"/>
    <w:rsid w:val="000A6DEB"/>
    <w:rsid w:val="000A6EAA"/>
    <w:rsid w:val="000B04F6"/>
    <w:rsid w:val="000B0990"/>
    <w:rsid w:val="000B10A8"/>
    <w:rsid w:val="000B1584"/>
    <w:rsid w:val="000B166D"/>
    <w:rsid w:val="000B17DA"/>
    <w:rsid w:val="000B1F52"/>
    <w:rsid w:val="000B2290"/>
    <w:rsid w:val="000B35E5"/>
    <w:rsid w:val="000B39CD"/>
    <w:rsid w:val="000B3BD8"/>
    <w:rsid w:val="000B47C7"/>
    <w:rsid w:val="000B49E1"/>
    <w:rsid w:val="000B6C35"/>
    <w:rsid w:val="000B70F1"/>
    <w:rsid w:val="000C20DC"/>
    <w:rsid w:val="000C2586"/>
    <w:rsid w:val="000C26E0"/>
    <w:rsid w:val="000C2BF9"/>
    <w:rsid w:val="000C2DD8"/>
    <w:rsid w:val="000C3FAB"/>
    <w:rsid w:val="000C3FBC"/>
    <w:rsid w:val="000C41DD"/>
    <w:rsid w:val="000C4769"/>
    <w:rsid w:val="000C486F"/>
    <w:rsid w:val="000C4A05"/>
    <w:rsid w:val="000C4D38"/>
    <w:rsid w:val="000C5ADF"/>
    <w:rsid w:val="000C64D0"/>
    <w:rsid w:val="000C66A8"/>
    <w:rsid w:val="000C6A40"/>
    <w:rsid w:val="000C7006"/>
    <w:rsid w:val="000C7839"/>
    <w:rsid w:val="000D13B3"/>
    <w:rsid w:val="000D20CE"/>
    <w:rsid w:val="000D31E0"/>
    <w:rsid w:val="000D3263"/>
    <w:rsid w:val="000D330C"/>
    <w:rsid w:val="000D3374"/>
    <w:rsid w:val="000D36D5"/>
    <w:rsid w:val="000D3F5C"/>
    <w:rsid w:val="000D400C"/>
    <w:rsid w:val="000D5472"/>
    <w:rsid w:val="000D56BE"/>
    <w:rsid w:val="000D6253"/>
    <w:rsid w:val="000D6981"/>
    <w:rsid w:val="000D6AF1"/>
    <w:rsid w:val="000D6E0E"/>
    <w:rsid w:val="000D756F"/>
    <w:rsid w:val="000D7A1A"/>
    <w:rsid w:val="000E0047"/>
    <w:rsid w:val="000E0D33"/>
    <w:rsid w:val="000E2A22"/>
    <w:rsid w:val="000E2A61"/>
    <w:rsid w:val="000E31E1"/>
    <w:rsid w:val="000E345A"/>
    <w:rsid w:val="000E4105"/>
    <w:rsid w:val="000E435D"/>
    <w:rsid w:val="000E49BE"/>
    <w:rsid w:val="000E5435"/>
    <w:rsid w:val="000E56D8"/>
    <w:rsid w:val="000E584E"/>
    <w:rsid w:val="000E6301"/>
    <w:rsid w:val="000E6F1F"/>
    <w:rsid w:val="000E789D"/>
    <w:rsid w:val="000F10D8"/>
    <w:rsid w:val="000F1351"/>
    <w:rsid w:val="000F1483"/>
    <w:rsid w:val="000F1A4B"/>
    <w:rsid w:val="000F2BEC"/>
    <w:rsid w:val="000F321A"/>
    <w:rsid w:val="000F3AC2"/>
    <w:rsid w:val="000F59D6"/>
    <w:rsid w:val="000F622F"/>
    <w:rsid w:val="000F6524"/>
    <w:rsid w:val="000F6634"/>
    <w:rsid w:val="000F6EF0"/>
    <w:rsid w:val="000F7424"/>
    <w:rsid w:val="00101D84"/>
    <w:rsid w:val="0010266C"/>
    <w:rsid w:val="001027A8"/>
    <w:rsid w:val="001028D3"/>
    <w:rsid w:val="00102C86"/>
    <w:rsid w:val="00103A1D"/>
    <w:rsid w:val="00104EB5"/>
    <w:rsid w:val="00105E48"/>
    <w:rsid w:val="00107445"/>
    <w:rsid w:val="00107F39"/>
    <w:rsid w:val="00110571"/>
    <w:rsid w:val="00110C41"/>
    <w:rsid w:val="001116B0"/>
    <w:rsid w:val="00111AB2"/>
    <w:rsid w:val="00111D24"/>
    <w:rsid w:val="00111E2B"/>
    <w:rsid w:val="00112ACA"/>
    <w:rsid w:val="00113075"/>
    <w:rsid w:val="001130D3"/>
    <w:rsid w:val="00113133"/>
    <w:rsid w:val="001134D0"/>
    <w:rsid w:val="001138A6"/>
    <w:rsid w:val="001141C1"/>
    <w:rsid w:val="001147F5"/>
    <w:rsid w:val="00115268"/>
    <w:rsid w:val="001155B4"/>
    <w:rsid w:val="00115B79"/>
    <w:rsid w:val="0011616F"/>
    <w:rsid w:val="00116D30"/>
    <w:rsid w:val="00117A47"/>
    <w:rsid w:val="001216BD"/>
    <w:rsid w:val="00122272"/>
    <w:rsid w:val="00123C19"/>
    <w:rsid w:val="00124530"/>
    <w:rsid w:val="0012466A"/>
    <w:rsid w:val="00124900"/>
    <w:rsid w:val="00124E85"/>
    <w:rsid w:val="00126066"/>
    <w:rsid w:val="00127E0B"/>
    <w:rsid w:val="00130CDE"/>
    <w:rsid w:val="00130F1C"/>
    <w:rsid w:val="001312C5"/>
    <w:rsid w:val="00132349"/>
    <w:rsid w:val="00132546"/>
    <w:rsid w:val="001325CF"/>
    <w:rsid w:val="00132E7F"/>
    <w:rsid w:val="00133523"/>
    <w:rsid w:val="00133715"/>
    <w:rsid w:val="0013393D"/>
    <w:rsid w:val="00133C78"/>
    <w:rsid w:val="0013411A"/>
    <w:rsid w:val="00134892"/>
    <w:rsid w:val="0013495D"/>
    <w:rsid w:val="00134992"/>
    <w:rsid w:val="00134A9E"/>
    <w:rsid w:val="00134FCA"/>
    <w:rsid w:val="00135014"/>
    <w:rsid w:val="001353B4"/>
    <w:rsid w:val="001358FD"/>
    <w:rsid w:val="0013645B"/>
    <w:rsid w:val="0013673B"/>
    <w:rsid w:val="0013690A"/>
    <w:rsid w:val="00136B08"/>
    <w:rsid w:val="001372F3"/>
    <w:rsid w:val="00137CBA"/>
    <w:rsid w:val="001405A3"/>
    <w:rsid w:val="00140601"/>
    <w:rsid w:val="001406A1"/>
    <w:rsid w:val="00140957"/>
    <w:rsid w:val="0014264A"/>
    <w:rsid w:val="00143011"/>
    <w:rsid w:val="00143222"/>
    <w:rsid w:val="00143748"/>
    <w:rsid w:val="00143C36"/>
    <w:rsid w:val="001442FD"/>
    <w:rsid w:val="001455EA"/>
    <w:rsid w:val="0014586B"/>
    <w:rsid w:val="001458FB"/>
    <w:rsid w:val="00145D86"/>
    <w:rsid w:val="00146396"/>
    <w:rsid w:val="001472E6"/>
    <w:rsid w:val="0014761E"/>
    <w:rsid w:val="00147B3F"/>
    <w:rsid w:val="0015059C"/>
    <w:rsid w:val="00150FDA"/>
    <w:rsid w:val="00151B19"/>
    <w:rsid w:val="0015259F"/>
    <w:rsid w:val="0015355A"/>
    <w:rsid w:val="001539D2"/>
    <w:rsid w:val="00153BA5"/>
    <w:rsid w:val="00153E4E"/>
    <w:rsid w:val="00153EB2"/>
    <w:rsid w:val="00154736"/>
    <w:rsid w:val="00154760"/>
    <w:rsid w:val="00154B34"/>
    <w:rsid w:val="00155592"/>
    <w:rsid w:val="001555EB"/>
    <w:rsid w:val="00156861"/>
    <w:rsid w:val="001574A6"/>
    <w:rsid w:val="00157B1D"/>
    <w:rsid w:val="00157D3C"/>
    <w:rsid w:val="001614AF"/>
    <w:rsid w:val="00161523"/>
    <w:rsid w:val="0016171E"/>
    <w:rsid w:val="001618F0"/>
    <w:rsid w:val="00161E5C"/>
    <w:rsid w:val="001625C1"/>
    <w:rsid w:val="001627E5"/>
    <w:rsid w:val="00163743"/>
    <w:rsid w:val="0016381D"/>
    <w:rsid w:val="00163FC9"/>
    <w:rsid w:val="00164786"/>
    <w:rsid w:val="00164853"/>
    <w:rsid w:val="00164C56"/>
    <w:rsid w:val="001654DA"/>
    <w:rsid w:val="00165C8D"/>
    <w:rsid w:val="00166076"/>
    <w:rsid w:val="00167123"/>
    <w:rsid w:val="001677CD"/>
    <w:rsid w:val="00167FDD"/>
    <w:rsid w:val="001700D5"/>
    <w:rsid w:val="001701C2"/>
    <w:rsid w:val="00170356"/>
    <w:rsid w:val="00171763"/>
    <w:rsid w:val="00171EDA"/>
    <w:rsid w:val="00171F2C"/>
    <w:rsid w:val="0017268F"/>
    <w:rsid w:val="00172897"/>
    <w:rsid w:val="00172C9C"/>
    <w:rsid w:val="00172DB9"/>
    <w:rsid w:val="00173B91"/>
    <w:rsid w:val="00173E86"/>
    <w:rsid w:val="00174317"/>
    <w:rsid w:val="00174696"/>
    <w:rsid w:val="0017496D"/>
    <w:rsid w:val="00174D10"/>
    <w:rsid w:val="00174EEF"/>
    <w:rsid w:val="00174F02"/>
    <w:rsid w:val="001751EA"/>
    <w:rsid w:val="0017695A"/>
    <w:rsid w:val="001769B9"/>
    <w:rsid w:val="00176AA0"/>
    <w:rsid w:val="00176C3C"/>
    <w:rsid w:val="001774A8"/>
    <w:rsid w:val="00180A07"/>
    <w:rsid w:val="00181774"/>
    <w:rsid w:val="00182094"/>
    <w:rsid w:val="001822B8"/>
    <w:rsid w:val="00182F8E"/>
    <w:rsid w:val="001831DE"/>
    <w:rsid w:val="001831EB"/>
    <w:rsid w:val="0018415A"/>
    <w:rsid w:val="00185672"/>
    <w:rsid w:val="00185ABE"/>
    <w:rsid w:val="00185CC9"/>
    <w:rsid w:val="00186C2A"/>
    <w:rsid w:val="00187011"/>
    <w:rsid w:val="00187257"/>
    <w:rsid w:val="00187433"/>
    <w:rsid w:val="00187892"/>
    <w:rsid w:val="0018799F"/>
    <w:rsid w:val="00190AB4"/>
    <w:rsid w:val="00190B2F"/>
    <w:rsid w:val="00191AC1"/>
    <w:rsid w:val="00191E3C"/>
    <w:rsid w:val="00192C13"/>
    <w:rsid w:val="00193D79"/>
    <w:rsid w:val="00193DD9"/>
    <w:rsid w:val="00193E8F"/>
    <w:rsid w:val="00197482"/>
    <w:rsid w:val="0019783F"/>
    <w:rsid w:val="00197B53"/>
    <w:rsid w:val="00197EE4"/>
    <w:rsid w:val="001A0461"/>
    <w:rsid w:val="001A07E0"/>
    <w:rsid w:val="001A1472"/>
    <w:rsid w:val="001A1A65"/>
    <w:rsid w:val="001A1FF0"/>
    <w:rsid w:val="001A20FB"/>
    <w:rsid w:val="001A2540"/>
    <w:rsid w:val="001A38FB"/>
    <w:rsid w:val="001A408F"/>
    <w:rsid w:val="001A40C6"/>
    <w:rsid w:val="001A55F9"/>
    <w:rsid w:val="001A5AA6"/>
    <w:rsid w:val="001A5D12"/>
    <w:rsid w:val="001A6169"/>
    <w:rsid w:val="001A6319"/>
    <w:rsid w:val="001A6327"/>
    <w:rsid w:val="001A763B"/>
    <w:rsid w:val="001A7EA7"/>
    <w:rsid w:val="001B182C"/>
    <w:rsid w:val="001B1A0B"/>
    <w:rsid w:val="001B1F87"/>
    <w:rsid w:val="001B2146"/>
    <w:rsid w:val="001B29A4"/>
    <w:rsid w:val="001B29E5"/>
    <w:rsid w:val="001B31FA"/>
    <w:rsid w:val="001B3A77"/>
    <w:rsid w:val="001B3E76"/>
    <w:rsid w:val="001B40B5"/>
    <w:rsid w:val="001B4626"/>
    <w:rsid w:val="001B4CA9"/>
    <w:rsid w:val="001B5AB8"/>
    <w:rsid w:val="001B6144"/>
    <w:rsid w:val="001B618C"/>
    <w:rsid w:val="001B6218"/>
    <w:rsid w:val="001B6FFA"/>
    <w:rsid w:val="001B738F"/>
    <w:rsid w:val="001B75C5"/>
    <w:rsid w:val="001B7817"/>
    <w:rsid w:val="001C01F0"/>
    <w:rsid w:val="001C0DA7"/>
    <w:rsid w:val="001C1349"/>
    <w:rsid w:val="001C1400"/>
    <w:rsid w:val="001C1742"/>
    <w:rsid w:val="001C19FD"/>
    <w:rsid w:val="001C1A36"/>
    <w:rsid w:val="001C203F"/>
    <w:rsid w:val="001C20E2"/>
    <w:rsid w:val="001C211A"/>
    <w:rsid w:val="001C267A"/>
    <w:rsid w:val="001C2841"/>
    <w:rsid w:val="001C2918"/>
    <w:rsid w:val="001C2D9D"/>
    <w:rsid w:val="001C2EFE"/>
    <w:rsid w:val="001C3181"/>
    <w:rsid w:val="001C3CD7"/>
    <w:rsid w:val="001C4089"/>
    <w:rsid w:val="001C41FE"/>
    <w:rsid w:val="001C4953"/>
    <w:rsid w:val="001C6631"/>
    <w:rsid w:val="001C7182"/>
    <w:rsid w:val="001C74D0"/>
    <w:rsid w:val="001C74FB"/>
    <w:rsid w:val="001C7E7F"/>
    <w:rsid w:val="001D02BA"/>
    <w:rsid w:val="001D06CF"/>
    <w:rsid w:val="001D0BBB"/>
    <w:rsid w:val="001D0EFF"/>
    <w:rsid w:val="001D1E2C"/>
    <w:rsid w:val="001D2308"/>
    <w:rsid w:val="001D3372"/>
    <w:rsid w:val="001D3EEB"/>
    <w:rsid w:val="001D3EFD"/>
    <w:rsid w:val="001D40C1"/>
    <w:rsid w:val="001D4371"/>
    <w:rsid w:val="001D4808"/>
    <w:rsid w:val="001D55D9"/>
    <w:rsid w:val="001D632C"/>
    <w:rsid w:val="001D63AB"/>
    <w:rsid w:val="001D6B84"/>
    <w:rsid w:val="001D732E"/>
    <w:rsid w:val="001D7B16"/>
    <w:rsid w:val="001D7F36"/>
    <w:rsid w:val="001D7FB5"/>
    <w:rsid w:val="001E0140"/>
    <w:rsid w:val="001E1D7B"/>
    <w:rsid w:val="001E2374"/>
    <w:rsid w:val="001E247C"/>
    <w:rsid w:val="001E4678"/>
    <w:rsid w:val="001E5284"/>
    <w:rsid w:val="001E5AEE"/>
    <w:rsid w:val="001E6DD3"/>
    <w:rsid w:val="001E71BE"/>
    <w:rsid w:val="001E7901"/>
    <w:rsid w:val="001F2054"/>
    <w:rsid w:val="001F2ABE"/>
    <w:rsid w:val="001F2DD2"/>
    <w:rsid w:val="001F331A"/>
    <w:rsid w:val="001F3798"/>
    <w:rsid w:val="001F497F"/>
    <w:rsid w:val="001F4A23"/>
    <w:rsid w:val="001F522E"/>
    <w:rsid w:val="001F5B1A"/>
    <w:rsid w:val="001F607B"/>
    <w:rsid w:val="001F669C"/>
    <w:rsid w:val="0020096A"/>
    <w:rsid w:val="00200A35"/>
    <w:rsid w:val="002016E9"/>
    <w:rsid w:val="002024CE"/>
    <w:rsid w:val="00202959"/>
    <w:rsid w:val="00203274"/>
    <w:rsid w:val="00203CE5"/>
    <w:rsid w:val="002044B3"/>
    <w:rsid w:val="002049FC"/>
    <w:rsid w:val="00205221"/>
    <w:rsid w:val="00205AFE"/>
    <w:rsid w:val="0020765E"/>
    <w:rsid w:val="00207E23"/>
    <w:rsid w:val="00210A6B"/>
    <w:rsid w:val="00210FD1"/>
    <w:rsid w:val="00211318"/>
    <w:rsid w:val="00211B9B"/>
    <w:rsid w:val="00211E7E"/>
    <w:rsid w:val="002122A7"/>
    <w:rsid w:val="00213303"/>
    <w:rsid w:val="00213675"/>
    <w:rsid w:val="00213A12"/>
    <w:rsid w:val="0021457D"/>
    <w:rsid w:val="002145B5"/>
    <w:rsid w:val="0021532B"/>
    <w:rsid w:val="00216574"/>
    <w:rsid w:val="00217746"/>
    <w:rsid w:val="00217C12"/>
    <w:rsid w:val="00220435"/>
    <w:rsid w:val="0022044B"/>
    <w:rsid w:val="00220926"/>
    <w:rsid w:val="00220965"/>
    <w:rsid w:val="00220BBB"/>
    <w:rsid w:val="00220CAC"/>
    <w:rsid w:val="00220FB2"/>
    <w:rsid w:val="00220FBB"/>
    <w:rsid w:val="00221D1B"/>
    <w:rsid w:val="00222684"/>
    <w:rsid w:val="0022287B"/>
    <w:rsid w:val="00224077"/>
    <w:rsid w:val="002242B1"/>
    <w:rsid w:val="0022461A"/>
    <w:rsid w:val="002246A1"/>
    <w:rsid w:val="00224706"/>
    <w:rsid w:val="00224826"/>
    <w:rsid w:val="00224D9D"/>
    <w:rsid w:val="00225064"/>
    <w:rsid w:val="002258F3"/>
    <w:rsid w:val="00226030"/>
    <w:rsid w:val="002266AC"/>
    <w:rsid w:val="00226B70"/>
    <w:rsid w:val="00230F2E"/>
    <w:rsid w:val="00231544"/>
    <w:rsid w:val="00231B7F"/>
    <w:rsid w:val="00231CC9"/>
    <w:rsid w:val="00231ED1"/>
    <w:rsid w:val="002328E8"/>
    <w:rsid w:val="00232F19"/>
    <w:rsid w:val="00233260"/>
    <w:rsid w:val="00233602"/>
    <w:rsid w:val="0023370C"/>
    <w:rsid w:val="002344CA"/>
    <w:rsid w:val="00234E71"/>
    <w:rsid w:val="002359A9"/>
    <w:rsid w:val="00235AA3"/>
    <w:rsid w:val="00235C3D"/>
    <w:rsid w:val="002370EC"/>
    <w:rsid w:val="0023767F"/>
    <w:rsid w:val="0024005D"/>
    <w:rsid w:val="002402FD"/>
    <w:rsid w:val="00240AC1"/>
    <w:rsid w:val="00240E9E"/>
    <w:rsid w:val="00241430"/>
    <w:rsid w:val="00241CCE"/>
    <w:rsid w:val="00242084"/>
    <w:rsid w:val="00242362"/>
    <w:rsid w:val="00242467"/>
    <w:rsid w:val="0024299E"/>
    <w:rsid w:val="00242AB6"/>
    <w:rsid w:val="002437AC"/>
    <w:rsid w:val="0024398C"/>
    <w:rsid w:val="00243A21"/>
    <w:rsid w:val="00243B11"/>
    <w:rsid w:val="00243D0E"/>
    <w:rsid w:val="00244193"/>
    <w:rsid w:val="00244226"/>
    <w:rsid w:val="00245002"/>
    <w:rsid w:val="002452D1"/>
    <w:rsid w:val="00245313"/>
    <w:rsid w:val="0024599B"/>
    <w:rsid w:val="00245F8F"/>
    <w:rsid w:val="00246255"/>
    <w:rsid w:val="00246420"/>
    <w:rsid w:val="00247254"/>
    <w:rsid w:val="00250BAB"/>
    <w:rsid w:val="00250DF7"/>
    <w:rsid w:val="002514AE"/>
    <w:rsid w:val="00251567"/>
    <w:rsid w:val="00251DA8"/>
    <w:rsid w:val="00252FD2"/>
    <w:rsid w:val="002543CE"/>
    <w:rsid w:val="00255AB5"/>
    <w:rsid w:val="002566A6"/>
    <w:rsid w:val="00257450"/>
    <w:rsid w:val="00260145"/>
    <w:rsid w:val="002608B1"/>
    <w:rsid w:val="002609EA"/>
    <w:rsid w:val="00260B58"/>
    <w:rsid w:val="00260B8E"/>
    <w:rsid w:val="00260C44"/>
    <w:rsid w:val="00260CA6"/>
    <w:rsid w:val="00260EE3"/>
    <w:rsid w:val="00261AD0"/>
    <w:rsid w:val="00261D85"/>
    <w:rsid w:val="0026217F"/>
    <w:rsid w:val="0026306E"/>
    <w:rsid w:val="00264272"/>
    <w:rsid w:val="00264408"/>
    <w:rsid w:val="0026585F"/>
    <w:rsid w:val="0026586A"/>
    <w:rsid w:val="00266EC9"/>
    <w:rsid w:val="0026719C"/>
    <w:rsid w:val="002672FF"/>
    <w:rsid w:val="002702CC"/>
    <w:rsid w:val="002707ED"/>
    <w:rsid w:val="00270F06"/>
    <w:rsid w:val="00271036"/>
    <w:rsid w:val="002737A1"/>
    <w:rsid w:val="00273E18"/>
    <w:rsid w:val="00273E73"/>
    <w:rsid w:val="00274295"/>
    <w:rsid w:val="002750C7"/>
    <w:rsid w:val="0027563C"/>
    <w:rsid w:val="00275D8D"/>
    <w:rsid w:val="00276A6C"/>
    <w:rsid w:val="00276B3D"/>
    <w:rsid w:val="002776B1"/>
    <w:rsid w:val="00280C5E"/>
    <w:rsid w:val="00281661"/>
    <w:rsid w:val="00281C1F"/>
    <w:rsid w:val="0028205C"/>
    <w:rsid w:val="002831F3"/>
    <w:rsid w:val="00283438"/>
    <w:rsid w:val="00283987"/>
    <w:rsid w:val="002843E3"/>
    <w:rsid w:val="00287A40"/>
    <w:rsid w:val="00290F9A"/>
    <w:rsid w:val="002912EE"/>
    <w:rsid w:val="002928D5"/>
    <w:rsid w:val="00293889"/>
    <w:rsid w:val="00294181"/>
    <w:rsid w:val="002941FC"/>
    <w:rsid w:val="0029465F"/>
    <w:rsid w:val="0029486A"/>
    <w:rsid w:val="00294A83"/>
    <w:rsid w:val="002954CE"/>
    <w:rsid w:val="002954DC"/>
    <w:rsid w:val="0029558F"/>
    <w:rsid w:val="00295BF5"/>
    <w:rsid w:val="002960FB"/>
    <w:rsid w:val="00297B9F"/>
    <w:rsid w:val="002A0033"/>
    <w:rsid w:val="002A0139"/>
    <w:rsid w:val="002A05D6"/>
    <w:rsid w:val="002A064A"/>
    <w:rsid w:val="002A075F"/>
    <w:rsid w:val="002A0EB1"/>
    <w:rsid w:val="002A1765"/>
    <w:rsid w:val="002A3A34"/>
    <w:rsid w:val="002A3DE8"/>
    <w:rsid w:val="002A43BC"/>
    <w:rsid w:val="002A4403"/>
    <w:rsid w:val="002A4699"/>
    <w:rsid w:val="002A4910"/>
    <w:rsid w:val="002A4DAF"/>
    <w:rsid w:val="002A58F4"/>
    <w:rsid w:val="002A62B4"/>
    <w:rsid w:val="002A6913"/>
    <w:rsid w:val="002A71EC"/>
    <w:rsid w:val="002A72A0"/>
    <w:rsid w:val="002A7A05"/>
    <w:rsid w:val="002B0155"/>
    <w:rsid w:val="002B0B22"/>
    <w:rsid w:val="002B124B"/>
    <w:rsid w:val="002B13EE"/>
    <w:rsid w:val="002B15EA"/>
    <w:rsid w:val="002B1B6A"/>
    <w:rsid w:val="002B1BA0"/>
    <w:rsid w:val="002B264D"/>
    <w:rsid w:val="002B391D"/>
    <w:rsid w:val="002B3C49"/>
    <w:rsid w:val="002B3F52"/>
    <w:rsid w:val="002B404F"/>
    <w:rsid w:val="002B5980"/>
    <w:rsid w:val="002B65AD"/>
    <w:rsid w:val="002B69BD"/>
    <w:rsid w:val="002B6DE9"/>
    <w:rsid w:val="002B6E65"/>
    <w:rsid w:val="002B78B1"/>
    <w:rsid w:val="002B7F82"/>
    <w:rsid w:val="002C2114"/>
    <w:rsid w:val="002C36FC"/>
    <w:rsid w:val="002C3942"/>
    <w:rsid w:val="002C3E37"/>
    <w:rsid w:val="002C4D7D"/>
    <w:rsid w:val="002C4DEE"/>
    <w:rsid w:val="002C4E8D"/>
    <w:rsid w:val="002C5270"/>
    <w:rsid w:val="002C6524"/>
    <w:rsid w:val="002C70EB"/>
    <w:rsid w:val="002C73A1"/>
    <w:rsid w:val="002C78AF"/>
    <w:rsid w:val="002C7F3C"/>
    <w:rsid w:val="002D07FC"/>
    <w:rsid w:val="002D0EB9"/>
    <w:rsid w:val="002D15DC"/>
    <w:rsid w:val="002D2375"/>
    <w:rsid w:val="002D27E1"/>
    <w:rsid w:val="002D2C1C"/>
    <w:rsid w:val="002D33C9"/>
    <w:rsid w:val="002D383A"/>
    <w:rsid w:val="002D51CE"/>
    <w:rsid w:val="002D5677"/>
    <w:rsid w:val="002D6683"/>
    <w:rsid w:val="002D6711"/>
    <w:rsid w:val="002D6936"/>
    <w:rsid w:val="002D76E2"/>
    <w:rsid w:val="002E001B"/>
    <w:rsid w:val="002E030B"/>
    <w:rsid w:val="002E0312"/>
    <w:rsid w:val="002E038F"/>
    <w:rsid w:val="002E0F07"/>
    <w:rsid w:val="002E1830"/>
    <w:rsid w:val="002E25D4"/>
    <w:rsid w:val="002E35E0"/>
    <w:rsid w:val="002E4A5C"/>
    <w:rsid w:val="002E52A3"/>
    <w:rsid w:val="002E5353"/>
    <w:rsid w:val="002E5A02"/>
    <w:rsid w:val="002E64E5"/>
    <w:rsid w:val="002E69A8"/>
    <w:rsid w:val="002E6BC2"/>
    <w:rsid w:val="002E6DB6"/>
    <w:rsid w:val="002E6F09"/>
    <w:rsid w:val="002E7AC8"/>
    <w:rsid w:val="002F0F99"/>
    <w:rsid w:val="002F15D8"/>
    <w:rsid w:val="002F1BC9"/>
    <w:rsid w:val="002F1F77"/>
    <w:rsid w:val="002F23C7"/>
    <w:rsid w:val="002F2C98"/>
    <w:rsid w:val="002F2F46"/>
    <w:rsid w:val="002F38E8"/>
    <w:rsid w:val="002F3A99"/>
    <w:rsid w:val="002F3CDD"/>
    <w:rsid w:val="002F44A3"/>
    <w:rsid w:val="002F4833"/>
    <w:rsid w:val="002F5820"/>
    <w:rsid w:val="002F5DB9"/>
    <w:rsid w:val="002F6727"/>
    <w:rsid w:val="002F6B65"/>
    <w:rsid w:val="002F6E1F"/>
    <w:rsid w:val="002F6F39"/>
    <w:rsid w:val="002F78D7"/>
    <w:rsid w:val="00300CCA"/>
    <w:rsid w:val="00300EDC"/>
    <w:rsid w:val="00301B2F"/>
    <w:rsid w:val="00303106"/>
    <w:rsid w:val="003039DA"/>
    <w:rsid w:val="00303CBF"/>
    <w:rsid w:val="0030487C"/>
    <w:rsid w:val="00305B82"/>
    <w:rsid w:val="00305C75"/>
    <w:rsid w:val="0030625A"/>
    <w:rsid w:val="00307D62"/>
    <w:rsid w:val="00310864"/>
    <w:rsid w:val="0031121E"/>
    <w:rsid w:val="00311694"/>
    <w:rsid w:val="00311769"/>
    <w:rsid w:val="00311ECF"/>
    <w:rsid w:val="00312344"/>
    <w:rsid w:val="00313107"/>
    <w:rsid w:val="00313CA4"/>
    <w:rsid w:val="0031468E"/>
    <w:rsid w:val="00314D21"/>
    <w:rsid w:val="003150AC"/>
    <w:rsid w:val="0031558B"/>
    <w:rsid w:val="003156FF"/>
    <w:rsid w:val="00316280"/>
    <w:rsid w:val="003165BD"/>
    <w:rsid w:val="00317078"/>
    <w:rsid w:val="0031736E"/>
    <w:rsid w:val="003173BA"/>
    <w:rsid w:val="00317FF1"/>
    <w:rsid w:val="0032061D"/>
    <w:rsid w:val="003208E5"/>
    <w:rsid w:val="003208FF"/>
    <w:rsid w:val="00320F62"/>
    <w:rsid w:val="003210CF"/>
    <w:rsid w:val="0032172C"/>
    <w:rsid w:val="00321E11"/>
    <w:rsid w:val="00321EBF"/>
    <w:rsid w:val="003224FB"/>
    <w:rsid w:val="00323786"/>
    <w:rsid w:val="0032393C"/>
    <w:rsid w:val="00323D53"/>
    <w:rsid w:val="003240B2"/>
    <w:rsid w:val="0032418C"/>
    <w:rsid w:val="00324196"/>
    <w:rsid w:val="00325D36"/>
    <w:rsid w:val="00325FCF"/>
    <w:rsid w:val="0032631B"/>
    <w:rsid w:val="00326779"/>
    <w:rsid w:val="0032683B"/>
    <w:rsid w:val="00326AAB"/>
    <w:rsid w:val="00326F77"/>
    <w:rsid w:val="003271A6"/>
    <w:rsid w:val="00327425"/>
    <w:rsid w:val="003306E3"/>
    <w:rsid w:val="0033122E"/>
    <w:rsid w:val="0033270E"/>
    <w:rsid w:val="0033294D"/>
    <w:rsid w:val="00332D2C"/>
    <w:rsid w:val="00332D42"/>
    <w:rsid w:val="003333F7"/>
    <w:rsid w:val="00335942"/>
    <w:rsid w:val="003365C4"/>
    <w:rsid w:val="00336727"/>
    <w:rsid w:val="003370F7"/>
    <w:rsid w:val="003415CB"/>
    <w:rsid w:val="00341693"/>
    <w:rsid w:val="0034197E"/>
    <w:rsid w:val="00341AB0"/>
    <w:rsid w:val="00341EAC"/>
    <w:rsid w:val="00342441"/>
    <w:rsid w:val="003432E8"/>
    <w:rsid w:val="003434B0"/>
    <w:rsid w:val="00344292"/>
    <w:rsid w:val="003445B1"/>
    <w:rsid w:val="00344CD7"/>
    <w:rsid w:val="003455F5"/>
    <w:rsid w:val="0034587B"/>
    <w:rsid w:val="00345C90"/>
    <w:rsid w:val="00346170"/>
    <w:rsid w:val="00346566"/>
    <w:rsid w:val="003466A1"/>
    <w:rsid w:val="003467DE"/>
    <w:rsid w:val="00346A7B"/>
    <w:rsid w:val="00346C4D"/>
    <w:rsid w:val="00346EE6"/>
    <w:rsid w:val="0034786A"/>
    <w:rsid w:val="00347946"/>
    <w:rsid w:val="0035000F"/>
    <w:rsid w:val="00351956"/>
    <w:rsid w:val="00352B79"/>
    <w:rsid w:val="0035351C"/>
    <w:rsid w:val="00353D3A"/>
    <w:rsid w:val="00353E09"/>
    <w:rsid w:val="00354540"/>
    <w:rsid w:val="003554B2"/>
    <w:rsid w:val="00355874"/>
    <w:rsid w:val="00355D80"/>
    <w:rsid w:val="003562B6"/>
    <w:rsid w:val="00356736"/>
    <w:rsid w:val="0035731C"/>
    <w:rsid w:val="00357429"/>
    <w:rsid w:val="00360194"/>
    <w:rsid w:val="003608EB"/>
    <w:rsid w:val="00360981"/>
    <w:rsid w:val="0036136D"/>
    <w:rsid w:val="003617BE"/>
    <w:rsid w:val="0036371E"/>
    <w:rsid w:val="003638C3"/>
    <w:rsid w:val="003639D0"/>
    <w:rsid w:val="00363D49"/>
    <w:rsid w:val="00365463"/>
    <w:rsid w:val="00365756"/>
    <w:rsid w:val="00365970"/>
    <w:rsid w:val="00365D2E"/>
    <w:rsid w:val="00366AE8"/>
    <w:rsid w:val="00367087"/>
    <w:rsid w:val="00367100"/>
    <w:rsid w:val="0036719B"/>
    <w:rsid w:val="00367226"/>
    <w:rsid w:val="003677C1"/>
    <w:rsid w:val="00367D75"/>
    <w:rsid w:val="00370BF1"/>
    <w:rsid w:val="003717FA"/>
    <w:rsid w:val="00371BC9"/>
    <w:rsid w:val="00371C18"/>
    <w:rsid w:val="0037244E"/>
    <w:rsid w:val="00372C50"/>
    <w:rsid w:val="00372FEB"/>
    <w:rsid w:val="00373715"/>
    <w:rsid w:val="00373740"/>
    <w:rsid w:val="00374A8F"/>
    <w:rsid w:val="00374B53"/>
    <w:rsid w:val="00375A16"/>
    <w:rsid w:val="00376452"/>
    <w:rsid w:val="00376E53"/>
    <w:rsid w:val="0037780D"/>
    <w:rsid w:val="0038049A"/>
    <w:rsid w:val="0038055B"/>
    <w:rsid w:val="003809C1"/>
    <w:rsid w:val="00380AE0"/>
    <w:rsid w:val="0038126D"/>
    <w:rsid w:val="00381598"/>
    <w:rsid w:val="003819ED"/>
    <w:rsid w:val="003831F5"/>
    <w:rsid w:val="00383DF6"/>
    <w:rsid w:val="00384329"/>
    <w:rsid w:val="003848B8"/>
    <w:rsid w:val="00384F82"/>
    <w:rsid w:val="00385476"/>
    <w:rsid w:val="0038562A"/>
    <w:rsid w:val="0038578F"/>
    <w:rsid w:val="00391623"/>
    <w:rsid w:val="00391DC0"/>
    <w:rsid w:val="00394A56"/>
    <w:rsid w:val="00394F41"/>
    <w:rsid w:val="0039546E"/>
    <w:rsid w:val="00395C45"/>
    <w:rsid w:val="003961A4"/>
    <w:rsid w:val="00396425"/>
    <w:rsid w:val="003A00C9"/>
    <w:rsid w:val="003A27FE"/>
    <w:rsid w:val="003A2B29"/>
    <w:rsid w:val="003A3745"/>
    <w:rsid w:val="003A3BC6"/>
    <w:rsid w:val="003A4082"/>
    <w:rsid w:val="003A413D"/>
    <w:rsid w:val="003A42D4"/>
    <w:rsid w:val="003A4CF1"/>
    <w:rsid w:val="003A4E6E"/>
    <w:rsid w:val="003A5CC2"/>
    <w:rsid w:val="003A6A32"/>
    <w:rsid w:val="003A6BF2"/>
    <w:rsid w:val="003A7814"/>
    <w:rsid w:val="003A7BB9"/>
    <w:rsid w:val="003B0311"/>
    <w:rsid w:val="003B161D"/>
    <w:rsid w:val="003B202C"/>
    <w:rsid w:val="003B255F"/>
    <w:rsid w:val="003B36E2"/>
    <w:rsid w:val="003B3744"/>
    <w:rsid w:val="003B3B18"/>
    <w:rsid w:val="003B4701"/>
    <w:rsid w:val="003B4DA5"/>
    <w:rsid w:val="003B5463"/>
    <w:rsid w:val="003B5482"/>
    <w:rsid w:val="003B5690"/>
    <w:rsid w:val="003B6439"/>
    <w:rsid w:val="003B6F7B"/>
    <w:rsid w:val="003B7934"/>
    <w:rsid w:val="003C0DDE"/>
    <w:rsid w:val="003C223B"/>
    <w:rsid w:val="003C26B8"/>
    <w:rsid w:val="003C29E2"/>
    <w:rsid w:val="003C2DC5"/>
    <w:rsid w:val="003C35E6"/>
    <w:rsid w:val="003C376C"/>
    <w:rsid w:val="003C3BE8"/>
    <w:rsid w:val="003C3C98"/>
    <w:rsid w:val="003C414E"/>
    <w:rsid w:val="003C596A"/>
    <w:rsid w:val="003C5DD3"/>
    <w:rsid w:val="003C5FC0"/>
    <w:rsid w:val="003C60F1"/>
    <w:rsid w:val="003C67A2"/>
    <w:rsid w:val="003C6A67"/>
    <w:rsid w:val="003C6B92"/>
    <w:rsid w:val="003C7D5B"/>
    <w:rsid w:val="003D008D"/>
    <w:rsid w:val="003D0600"/>
    <w:rsid w:val="003D1701"/>
    <w:rsid w:val="003D23C7"/>
    <w:rsid w:val="003D3687"/>
    <w:rsid w:val="003D4D57"/>
    <w:rsid w:val="003D578E"/>
    <w:rsid w:val="003D62BF"/>
    <w:rsid w:val="003D63FF"/>
    <w:rsid w:val="003D6A78"/>
    <w:rsid w:val="003D6CFA"/>
    <w:rsid w:val="003D6D8D"/>
    <w:rsid w:val="003E0991"/>
    <w:rsid w:val="003E0F2A"/>
    <w:rsid w:val="003E281E"/>
    <w:rsid w:val="003E390C"/>
    <w:rsid w:val="003E4974"/>
    <w:rsid w:val="003E4FBB"/>
    <w:rsid w:val="003E51FE"/>
    <w:rsid w:val="003E54F5"/>
    <w:rsid w:val="003E5F80"/>
    <w:rsid w:val="003E6EE9"/>
    <w:rsid w:val="003E7172"/>
    <w:rsid w:val="003E72FE"/>
    <w:rsid w:val="003E78C6"/>
    <w:rsid w:val="003E7D26"/>
    <w:rsid w:val="003E7F7C"/>
    <w:rsid w:val="003F0221"/>
    <w:rsid w:val="003F050F"/>
    <w:rsid w:val="003F0E13"/>
    <w:rsid w:val="003F19BB"/>
    <w:rsid w:val="003F1A2F"/>
    <w:rsid w:val="003F202E"/>
    <w:rsid w:val="003F21D3"/>
    <w:rsid w:val="003F2356"/>
    <w:rsid w:val="003F25C3"/>
    <w:rsid w:val="003F281A"/>
    <w:rsid w:val="003F2F92"/>
    <w:rsid w:val="003F39F0"/>
    <w:rsid w:val="003F3BB0"/>
    <w:rsid w:val="003F4D4C"/>
    <w:rsid w:val="003F541C"/>
    <w:rsid w:val="003F5692"/>
    <w:rsid w:val="003F5983"/>
    <w:rsid w:val="003F5995"/>
    <w:rsid w:val="003F5A91"/>
    <w:rsid w:val="003F5B4C"/>
    <w:rsid w:val="003F5FEC"/>
    <w:rsid w:val="003F6D8E"/>
    <w:rsid w:val="003F772D"/>
    <w:rsid w:val="003F7B49"/>
    <w:rsid w:val="00400BD2"/>
    <w:rsid w:val="00401929"/>
    <w:rsid w:val="00401C67"/>
    <w:rsid w:val="00402C3D"/>
    <w:rsid w:val="004030F5"/>
    <w:rsid w:val="00403746"/>
    <w:rsid w:val="004044E6"/>
    <w:rsid w:val="00404D06"/>
    <w:rsid w:val="004059BB"/>
    <w:rsid w:val="00405C03"/>
    <w:rsid w:val="00406184"/>
    <w:rsid w:val="004067BA"/>
    <w:rsid w:val="0041006B"/>
    <w:rsid w:val="00410B5A"/>
    <w:rsid w:val="00411F2D"/>
    <w:rsid w:val="00413638"/>
    <w:rsid w:val="00415B04"/>
    <w:rsid w:val="00415BF2"/>
    <w:rsid w:val="004161B9"/>
    <w:rsid w:val="00416253"/>
    <w:rsid w:val="004167EC"/>
    <w:rsid w:val="00417024"/>
    <w:rsid w:val="004170C4"/>
    <w:rsid w:val="0041717E"/>
    <w:rsid w:val="004172A8"/>
    <w:rsid w:val="00417C8A"/>
    <w:rsid w:val="004201F5"/>
    <w:rsid w:val="00420771"/>
    <w:rsid w:val="00420C48"/>
    <w:rsid w:val="00420D18"/>
    <w:rsid w:val="0042160D"/>
    <w:rsid w:val="004219F9"/>
    <w:rsid w:val="00421A78"/>
    <w:rsid w:val="004225B5"/>
    <w:rsid w:val="004226F4"/>
    <w:rsid w:val="0042304A"/>
    <w:rsid w:val="00423B59"/>
    <w:rsid w:val="00423CFC"/>
    <w:rsid w:val="00423FD1"/>
    <w:rsid w:val="004248DE"/>
    <w:rsid w:val="00424AC5"/>
    <w:rsid w:val="00426D8F"/>
    <w:rsid w:val="004275A5"/>
    <w:rsid w:val="00427A70"/>
    <w:rsid w:val="0043034C"/>
    <w:rsid w:val="00430CF1"/>
    <w:rsid w:val="0043114C"/>
    <w:rsid w:val="0043135C"/>
    <w:rsid w:val="004325FF"/>
    <w:rsid w:val="004328D7"/>
    <w:rsid w:val="00432DDF"/>
    <w:rsid w:val="0043331B"/>
    <w:rsid w:val="00433820"/>
    <w:rsid w:val="004339AD"/>
    <w:rsid w:val="00433C33"/>
    <w:rsid w:val="00434436"/>
    <w:rsid w:val="00434997"/>
    <w:rsid w:val="00434AC3"/>
    <w:rsid w:val="00434D5D"/>
    <w:rsid w:val="0043576C"/>
    <w:rsid w:val="0043581E"/>
    <w:rsid w:val="00436284"/>
    <w:rsid w:val="00436D09"/>
    <w:rsid w:val="00436DD5"/>
    <w:rsid w:val="0043785D"/>
    <w:rsid w:val="004414B7"/>
    <w:rsid w:val="0044154B"/>
    <w:rsid w:val="00441E28"/>
    <w:rsid w:val="00442CED"/>
    <w:rsid w:val="00442E6C"/>
    <w:rsid w:val="00443189"/>
    <w:rsid w:val="00443439"/>
    <w:rsid w:val="00444A11"/>
    <w:rsid w:val="00444E01"/>
    <w:rsid w:val="004455BE"/>
    <w:rsid w:val="004462AA"/>
    <w:rsid w:val="00446D97"/>
    <w:rsid w:val="004476F8"/>
    <w:rsid w:val="004502B2"/>
    <w:rsid w:val="0045075C"/>
    <w:rsid w:val="00450D5B"/>
    <w:rsid w:val="00451076"/>
    <w:rsid w:val="00451D86"/>
    <w:rsid w:val="0045242A"/>
    <w:rsid w:val="004529E2"/>
    <w:rsid w:val="00452A7D"/>
    <w:rsid w:val="004534FA"/>
    <w:rsid w:val="00455E55"/>
    <w:rsid w:val="0045606B"/>
    <w:rsid w:val="00456BE1"/>
    <w:rsid w:val="00456DB4"/>
    <w:rsid w:val="0045746E"/>
    <w:rsid w:val="004578A0"/>
    <w:rsid w:val="00457B87"/>
    <w:rsid w:val="00460047"/>
    <w:rsid w:val="004600C1"/>
    <w:rsid w:val="0046074F"/>
    <w:rsid w:val="00460B74"/>
    <w:rsid w:val="00460EDA"/>
    <w:rsid w:val="00461251"/>
    <w:rsid w:val="0046175F"/>
    <w:rsid w:val="0046219B"/>
    <w:rsid w:val="004623B5"/>
    <w:rsid w:val="004628BA"/>
    <w:rsid w:val="004638DC"/>
    <w:rsid w:val="00463C07"/>
    <w:rsid w:val="00464C7B"/>
    <w:rsid w:val="00464DC9"/>
    <w:rsid w:val="004656CB"/>
    <w:rsid w:val="00465C28"/>
    <w:rsid w:val="00466A00"/>
    <w:rsid w:val="00467CA3"/>
    <w:rsid w:val="00467D36"/>
    <w:rsid w:val="004707AD"/>
    <w:rsid w:val="004715EA"/>
    <w:rsid w:val="00471EA8"/>
    <w:rsid w:val="00472B25"/>
    <w:rsid w:val="00472E90"/>
    <w:rsid w:val="0047415B"/>
    <w:rsid w:val="00474514"/>
    <w:rsid w:val="00474CBE"/>
    <w:rsid w:val="00475C12"/>
    <w:rsid w:val="00476370"/>
    <w:rsid w:val="004770DA"/>
    <w:rsid w:val="00480318"/>
    <w:rsid w:val="00480678"/>
    <w:rsid w:val="00480A85"/>
    <w:rsid w:val="00480FBF"/>
    <w:rsid w:val="00481054"/>
    <w:rsid w:val="0048219D"/>
    <w:rsid w:val="00482DBE"/>
    <w:rsid w:val="00482F87"/>
    <w:rsid w:val="004832D7"/>
    <w:rsid w:val="00483CF1"/>
    <w:rsid w:val="00483F5B"/>
    <w:rsid w:val="00484196"/>
    <w:rsid w:val="004847F9"/>
    <w:rsid w:val="0048534F"/>
    <w:rsid w:val="004859AA"/>
    <w:rsid w:val="004859E7"/>
    <w:rsid w:val="00485CF3"/>
    <w:rsid w:val="00485DD1"/>
    <w:rsid w:val="00490D5F"/>
    <w:rsid w:val="00490E8E"/>
    <w:rsid w:val="0049221F"/>
    <w:rsid w:val="004931F4"/>
    <w:rsid w:val="0049354E"/>
    <w:rsid w:val="004937DF"/>
    <w:rsid w:val="00494947"/>
    <w:rsid w:val="00494993"/>
    <w:rsid w:val="00494A48"/>
    <w:rsid w:val="00495553"/>
    <w:rsid w:val="00495637"/>
    <w:rsid w:val="00495F28"/>
    <w:rsid w:val="004961CE"/>
    <w:rsid w:val="004A00BB"/>
    <w:rsid w:val="004A0DA1"/>
    <w:rsid w:val="004A208C"/>
    <w:rsid w:val="004A2167"/>
    <w:rsid w:val="004A2189"/>
    <w:rsid w:val="004A21B8"/>
    <w:rsid w:val="004A25FF"/>
    <w:rsid w:val="004A3A88"/>
    <w:rsid w:val="004A3DA3"/>
    <w:rsid w:val="004A46C1"/>
    <w:rsid w:val="004A48BF"/>
    <w:rsid w:val="004A5B51"/>
    <w:rsid w:val="004A7438"/>
    <w:rsid w:val="004A7A3F"/>
    <w:rsid w:val="004A7BD1"/>
    <w:rsid w:val="004B0B78"/>
    <w:rsid w:val="004B0D03"/>
    <w:rsid w:val="004B0F13"/>
    <w:rsid w:val="004B144C"/>
    <w:rsid w:val="004B1527"/>
    <w:rsid w:val="004B1AED"/>
    <w:rsid w:val="004B1B99"/>
    <w:rsid w:val="004B298A"/>
    <w:rsid w:val="004B2BDF"/>
    <w:rsid w:val="004B2F06"/>
    <w:rsid w:val="004B594D"/>
    <w:rsid w:val="004B68A5"/>
    <w:rsid w:val="004B7215"/>
    <w:rsid w:val="004B7599"/>
    <w:rsid w:val="004B7C19"/>
    <w:rsid w:val="004C0530"/>
    <w:rsid w:val="004C0637"/>
    <w:rsid w:val="004C0D57"/>
    <w:rsid w:val="004C1435"/>
    <w:rsid w:val="004C1B8A"/>
    <w:rsid w:val="004C2825"/>
    <w:rsid w:val="004C5685"/>
    <w:rsid w:val="004C5957"/>
    <w:rsid w:val="004C596C"/>
    <w:rsid w:val="004C60E5"/>
    <w:rsid w:val="004C612F"/>
    <w:rsid w:val="004C67B1"/>
    <w:rsid w:val="004C78DB"/>
    <w:rsid w:val="004C7BDF"/>
    <w:rsid w:val="004C7C82"/>
    <w:rsid w:val="004D077B"/>
    <w:rsid w:val="004D1319"/>
    <w:rsid w:val="004D1573"/>
    <w:rsid w:val="004D20A5"/>
    <w:rsid w:val="004D309B"/>
    <w:rsid w:val="004D3535"/>
    <w:rsid w:val="004D3563"/>
    <w:rsid w:val="004D3846"/>
    <w:rsid w:val="004D4668"/>
    <w:rsid w:val="004D4A7C"/>
    <w:rsid w:val="004D4AE1"/>
    <w:rsid w:val="004D4E12"/>
    <w:rsid w:val="004D5648"/>
    <w:rsid w:val="004D58CE"/>
    <w:rsid w:val="004D7CD2"/>
    <w:rsid w:val="004D7DAA"/>
    <w:rsid w:val="004D7E8A"/>
    <w:rsid w:val="004E0D0D"/>
    <w:rsid w:val="004E0E87"/>
    <w:rsid w:val="004E16B7"/>
    <w:rsid w:val="004E1BDC"/>
    <w:rsid w:val="004E25B5"/>
    <w:rsid w:val="004E28E2"/>
    <w:rsid w:val="004E2B0E"/>
    <w:rsid w:val="004E2BC2"/>
    <w:rsid w:val="004E3E19"/>
    <w:rsid w:val="004E4AAE"/>
    <w:rsid w:val="004E60A2"/>
    <w:rsid w:val="004E7AF4"/>
    <w:rsid w:val="004F0288"/>
    <w:rsid w:val="004F036D"/>
    <w:rsid w:val="004F165A"/>
    <w:rsid w:val="004F1848"/>
    <w:rsid w:val="004F1941"/>
    <w:rsid w:val="004F1F46"/>
    <w:rsid w:val="004F2D6F"/>
    <w:rsid w:val="004F3FED"/>
    <w:rsid w:val="004F46AB"/>
    <w:rsid w:val="004F57BA"/>
    <w:rsid w:val="004F5A8D"/>
    <w:rsid w:val="004F64F6"/>
    <w:rsid w:val="004F6AE8"/>
    <w:rsid w:val="004F739A"/>
    <w:rsid w:val="004F73C3"/>
    <w:rsid w:val="004F77A9"/>
    <w:rsid w:val="004F794A"/>
    <w:rsid w:val="0050033F"/>
    <w:rsid w:val="00501265"/>
    <w:rsid w:val="0050222D"/>
    <w:rsid w:val="0050273D"/>
    <w:rsid w:val="00502775"/>
    <w:rsid w:val="00502852"/>
    <w:rsid w:val="00502F02"/>
    <w:rsid w:val="005044F8"/>
    <w:rsid w:val="0050453A"/>
    <w:rsid w:val="0050585F"/>
    <w:rsid w:val="00505FCA"/>
    <w:rsid w:val="00506008"/>
    <w:rsid w:val="0050600A"/>
    <w:rsid w:val="005074B2"/>
    <w:rsid w:val="00507ED5"/>
    <w:rsid w:val="00510C0A"/>
    <w:rsid w:val="005113F0"/>
    <w:rsid w:val="005117D4"/>
    <w:rsid w:val="00511B84"/>
    <w:rsid w:val="0051207F"/>
    <w:rsid w:val="0051258B"/>
    <w:rsid w:val="005125B1"/>
    <w:rsid w:val="005127E6"/>
    <w:rsid w:val="00512C49"/>
    <w:rsid w:val="005141D6"/>
    <w:rsid w:val="00515F2C"/>
    <w:rsid w:val="00516342"/>
    <w:rsid w:val="00516D79"/>
    <w:rsid w:val="00517241"/>
    <w:rsid w:val="00517C60"/>
    <w:rsid w:val="00520DA0"/>
    <w:rsid w:val="00520FA5"/>
    <w:rsid w:val="005215DF"/>
    <w:rsid w:val="005218C6"/>
    <w:rsid w:val="00521A4E"/>
    <w:rsid w:val="005228E4"/>
    <w:rsid w:val="00522B5F"/>
    <w:rsid w:val="00522E26"/>
    <w:rsid w:val="00523288"/>
    <w:rsid w:val="005232DF"/>
    <w:rsid w:val="005265F9"/>
    <w:rsid w:val="00526B20"/>
    <w:rsid w:val="0052794E"/>
    <w:rsid w:val="00527BF4"/>
    <w:rsid w:val="005309CE"/>
    <w:rsid w:val="00531AA2"/>
    <w:rsid w:val="00533225"/>
    <w:rsid w:val="00533506"/>
    <w:rsid w:val="00533A4A"/>
    <w:rsid w:val="0053491B"/>
    <w:rsid w:val="00534BA2"/>
    <w:rsid w:val="00534DC2"/>
    <w:rsid w:val="005351B0"/>
    <w:rsid w:val="0053560F"/>
    <w:rsid w:val="0053781E"/>
    <w:rsid w:val="00537E7A"/>
    <w:rsid w:val="00541EF6"/>
    <w:rsid w:val="00542530"/>
    <w:rsid w:val="005437E8"/>
    <w:rsid w:val="005448D0"/>
    <w:rsid w:val="005463FC"/>
    <w:rsid w:val="00546E16"/>
    <w:rsid w:val="005475FC"/>
    <w:rsid w:val="005476D5"/>
    <w:rsid w:val="00547836"/>
    <w:rsid w:val="00547E95"/>
    <w:rsid w:val="00550720"/>
    <w:rsid w:val="0055161B"/>
    <w:rsid w:val="00551BB3"/>
    <w:rsid w:val="00551CC4"/>
    <w:rsid w:val="00551E31"/>
    <w:rsid w:val="00552885"/>
    <w:rsid w:val="00552DD8"/>
    <w:rsid w:val="00553052"/>
    <w:rsid w:val="00553529"/>
    <w:rsid w:val="00554394"/>
    <w:rsid w:val="00554F6B"/>
    <w:rsid w:val="00555237"/>
    <w:rsid w:val="0055632A"/>
    <w:rsid w:val="0055791A"/>
    <w:rsid w:val="00560C83"/>
    <w:rsid w:val="00561CAD"/>
    <w:rsid w:val="005629A3"/>
    <w:rsid w:val="005641FD"/>
    <w:rsid w:val="0056589D"/>
    <w:rsid w:val="005659B0"/>
    <w:rsid w:val="00565C76"/>
    <w:rsid w:val="00565F37"/>
    <w:rsid w:val="0056624E"/>
    <w:rsid w:val="00566316"/>
    <w:rsid w:val="00566468"/>
    <w:rsid w:val="00566B80"/>
    <w:rsid w:val="00566D88"/>
    <w:rsid w:val="00566EBF"/>
    <w:rsid w:val="00567150"/>
    <w:rsid w:val="005706A1"/>
    <w:rsid w:val="00570AF9"/>
    <w:rsid w:val="005713C6"/>
    <w:rsid w:val="0057168A"/>
    <w:rsid w:val="005716D0"/>
    <w:rsid w:val="0057227E"/>
    <w:rsid w:val="005728A8"/>
    <w:rsid w:val="00572EDE"/>
    <w:rsid w:val="00573229"/>
    <w:rsid w:val="0057322F"/>
    <w:rsid w:val="0057333C"/>
    <w:rsid w:val="00573692"/>
    <w:rsid w:val="00574D8E"/>
    <w:rsid w:val="00574D9C"/>
    <w:rsid w:val="00575D3C"/>
    <w:rsid w:val="00575E76"/>
    <w:rsid w:val="00577814"/>
    <w:rsid w:val="00580715"/>
    <w:rsid w:val="00580C20"/>
    <w:rsid w:val="00581198"/>
    <w:rsid w:val="00581E73"/>
    <w:rsid w:val="0058237C"/>
    <w:rsid w:val="0058290A"/>
    <w:rsid w:val="0058361C"/>
    <w:rsid w:val="0058415D"/>
    <w:rsid w:val="005848E3"/>
    <w:rsid w:val="00584C2F"/>
    <w:rsid w:val="00585EC8"/>
    <w:rsid w:val="00586504"/>
    <w:rsid w:val="00587364"/>
    <w:rsid w:val="00587580"/>
    <w:rsid w:val="00587D39"/>
    <w:rsid w:val="00590417"/>
    <w:rsid w:val="005908D2"/>
    <w:rsid w:val="00590CD3"/>
    <w:rsid w:val="00591302"/>
    <w:rsid w:val="00591535"/>
    <w:rsid w:val="0059191B"/>
    <w:rsid w:val="00592C94"/>
    <w:rsid w:val="00595435"/>
    <w:rsid w:val="005957B0"/>
    <w:rsid w:val="00595C7D"/>
    <w:rsid w:val="00596121"/>
    <w:rsid w:val="0059622A"/>
    <w:rsid w:val="005966A4"/>
    <w:rsid w:val="005967CA"/>
    <w:rsid w:val="005968EF"/>
    <w:rsid w:val="005969E0"/>
    <w:rsid w:val="00596B10"/>
    <w:rsid w:val="00596DDA"/>
    <w:rsid w:val="00596EA0"/>
    <w:rsid w:val="005975B0"/>
    <w:rsid w:val="005976C7"/>
    <w:rsid w:val="00597C09"/>
    <w:rsid w:val="005A19CA"/>
    <w:rsid w:val="005A19FD"/>
    <w:rsid w:val="005A26DB"/>
    <w:rsid w:val="005A2FB3"/>
    <w:rsid w:val="005A317C"/>
    <w:rsid w:val="005A3E08"/>
    <w:rsid w:val="005A4BE8"/>
    <w:rsid w:val="005A4CCC"/>
    <w:rsid w:val="005A6056"/>
    <w:rsid w:val="005A6B18"/>
    <w:rsid w:val="005A6B86"/>
    <w:rsid w:val="005A7A4B"/>
    <w:rsid w:val="005B0F4A"/>
    <w:rsid w:val="005B1F44"/>
    <w:rsid w:val="005B2270"/>
    <w:rsid w:val="005B2E52"/>
    <w:rsid w:val="005B3793"/>
    <w:rsid w:val="005B3BA6"/>
    <w:rsid w:val="005B4060"/>
    <w:rsid w:val="005B4385"/>
    <w:rsid w:val="005B44DA"/>
    <w:rsid w:val="005B4706"/>
    <w:rsid w:val="005B4839"/>
    <w:rsid w:val="005B6531"/>
    <w:rsid w:val="005B72CF"/>
    <w:rsid w:val="005B7A50"/>
    <w:rsid w:val="005B7E9E"/>
    <w:rsid w:val="005C1561"/>
    <w:rsid w:val="005C21D5"/>
    <w:rsid w:val="005C2607"/>
    <w:rsid w:val="005C2A79"/>
    <w:rsid w:val="005C314F"/>
    <w:rsid w:val="005C3C85"/>
    <w:rsid w:val="005C560D"/>
    <w:rsid w:val="005C5D4A"/>
    <w:rsid w:val="005C7BAA"/>
    <w:rsid w:val="005C7F31"/>
    <w:rsid w:val="005D0A35"/>
    <w:rsid w:val="005D0BCF"/>
    <w:rsid w:val="005D235E"/>
    <w:rsid w:val="005D23A0"/>
    <w:rsid w:val="005D3713"/>
    <w:rsid w:val="005D41D1"/>
    <w:rsid w:val="005D44C5"/>
    <w:rsid w:val="005D4DFF"/>
    <w:rsid w:val="005D4FCB"/>
    <w:rsid w:val="005D50D2"/>
    <w:rsid w:val="005D5D83"/>
    <w:rsid w:val="005D5F1A"/>
    <w:rsid w:val="005D5FDC"/>
    <w:rsid w:val="005D63FF"/>
    <w:rsid w:val="005D7457"/>
    <w:rsid w:val="005D7B46"/>
    <w:rsid w:val="005D7DA4"/>
    <w:rsid w:val="005E0505"/>
    <w:rsid w:val="005E1887"/>
    <w:rsid w:val="005E1C05"/>
    <w:rsid w:val="005E2886"/>
    <w:rsid w:val="005E2A73"/>
    <w:rsid w:val="005E3B44"/>
    <w:rsid w:val="005E430A"/>
    <w:rsid w:val="005E4F35"/>
    <w:rsid w:val="005E5DC4"/>
    <w:rsid w:val="005E636C"/>
    <w:rsid w:val="005E794A"/>
    <w:rsid w:val="005E7E04"/>
    <w:rsid w:val="005F072D"/>
    <w:rsid w:val="005F176D"/>
    <w:rsid w:val="005F1AD7"/>
    <w:rsid w:val="005F1FD8"/>
    <w:rsid w:val="005F223B"/>
    <w:rsid w:val="005F2B0C"/>
    <w:rsid w:val="005F2F0B"/>
    <w:rsid w:val="005F30D8"/>
    <w:rsid w:val="005F3FF7"/>
    <w:rsid w:val="005F4209"/>
    <w:rsid w:val="005F57F6"/>
    <w:rsid w:val="005F5AE7"/>
    <w:rsid w:val="005F5CD3"/>
    <w:rsid w:val="005F5D5E"/>
    <w:rsid w:val="005F6E0D"/>
    <w:rsid w:val="005F6EB8"/>
    <w:rsid w:val="005F7148"/>
    <w:rsid w:val="005F78B6"/>
    <w:rsid w:val="0060006B"/>
    <w:rsid w:val="006002A6"/>
    <w:rsid w:val="00600DEA"/>
    <w:rsid w:val="00601212"/>
    <w:rsid w:val="00602908"/>
    <w:rsid w:val="00602F61"/>
    <w:rsid w:val="00603949"/>
    <w:rsid w:val="00603EA4"/>
    <w:rsid w:val="00604A5C"/>
    <w:rsid w:val="00604C30"/>
    <w:rsid w:val="006053EE"/>
    <w:rsid w:val="0060549D"/>
    <w:rsid w:val="006060C4"/>
    <w:rsid w:val="00606D5C"/>
    <w:rsid w:val="00607699"/>
    <w:rsid w:val="00607C19"/>
    <w:rsid w:val="00612FB6"/>
    <w:rsid w:val="0061398E"/>
    <w:rsid w:val="00613B58"/>
    <w:rsid w:val="00613FAC"/>
    <w:rsid w:val="00614B8D"/>
    <w:rsid w:val="00615FFA"/>
    <w:rsid w:val="00616859"/>
    <w:rsid w:val="00620C63"/>
    <w:rsid w:val="00620E23"/>
    <w:rsid w:val="006215DC"/>
    <w:rsid w:val="0062181E"/>
    <w:rsid w:val="006223D2"/>
    <w:rsid w:val="00622939"/>
    <w:rsid w:val="00622D78"/>
    <w:rsid w:val="006231C8"/>
    <w:rsid w:val="00623969"/>
    <w:rsid w:val="006247AD"/>
    <w:rsid w:val="00624852"/>
    <w:rsid w:val="00625995"/>
    <w:rsid w:val="006259C0"/>
    <w:rsid w:val="006274DF"/>
    <w:rsid w:val="00630E6C"/>
    <w:rsid w:val="00630EF2"/>
    <w:rsid w:val="0063104C"/>
    <w:rsid w:val="00631ED6"/>
    <w:rsid w:val="006320AD"/>
    <w:rsid w:val="006327E6"/>
    <w:rsid w:val="00632F28"/>
    <w:rsid w:val="006330E1"/>
    <w:rsid w:val="0063389B"/>
    <w:rsid w:val="00633B35"/>
    <w:rsid w:val="00633C2A"/>
    <w:rsid w:val="00634720"/>
    <w:rsid w:val="00634FC0"/>
    <w:rsid w:val="00635C40"/>
    <w:rsid w:val="0063629D"/>
    <w:rsid w:val="006367C1"/>
    <w:rsid w:val="0063767A"/>
    <w:rsid w:val="00637780"/>
    <w:rsid w:val="00637D24"/>
    <w:rsid w:val="006404C9"/>
    <w:rsid w:val="00641044"/>
    <w:rsid w:val="006410B7"/>
    <w:rsid w:val="006413B3"/>
    <w:rsid w:val="006438F0"/>
    <w:rsid w:val="006443D9"/>
    <w:rsid w:val="006443FF"/>
    <w:rsid w:val="00644A61"/>
    <w:rsid w:val="00645039"/>
    <w:rsid w:val="00645155"/>
    <w:rsid w:val="00645CE8"/>
    <w:rsid w:val="006460B2"/>
    <w:rsid w:val="00646B69"/>
    <w:rsid w:val="006470E0"/>
    <w:rsid w:val="006471C0"/>
    <w:rsid w:val="006478E4"/>
    <w:rsid w:val="00647DE5"/>
    <w:rsid w:val="006500D2"/>
    <w:rsid w:val="00650793"/>
    <w:rsid w:val="00650868"/>
    <w:rsid w:val="00651999"/>
    <w:rsid w:val="00651C90"/>
    <w:rsid w:val="0065243E"/>
    <w:rsid w:val="0065248F"/>
    <w:rsid w:val="00652AB9"/>
    <w:rsid w:val="00653242"/>
    <w:rsid w:val="006535A0"/>
    <w:rsid w:val="00653AFC"/>
    <w:rsid w:val="00654144"/>
    <w:rsid w:val="006542F3"/>
    <w:rsid w:val="00654614"/>
    <w:rsid w:val="006547F1"/>
    <w:rsid w:val="00654AA5"/>
    <w:rsid w:val="006552D2"/>
    <w:rsid w:val="00655CD9"/>
    <w:rsid w:val="00655D55"/>
    <w:rsid w:val="00657076"/>
    <w:rsid w:val="0065781C"/>
    <w:rsid w:val="00657A8D"/>
    <w:rsid w:val="00657DD4"/>
    <w:rsid w:val="0066056B"/>
    <w:rsid w:val="00660EF6"/>
    <w:rsid w:val="00660FAB"/>
    <w:rsid w:val="00661A9C"/>
    <w:rsid w:val="00662B0D"/>
    <w:rsid w:val="00662D22"/>
    <w:rsid w:val="00663E47"/>
    <w:rsid w:val="006643CC"/>
    <w:rsid w:val="006643E4"/>
    <w:rsid w:val="00664EAE"/>
    <w:rsid w:val="006656C9"/>
    <w:rsid w:val="00665EB7"/>
    <w:rsid w:val="0066632E"/>
    <w:rsid w:val="0066647B"/>
    <w:rsid w:val="006666BE"/>
    <w:rsid w:val="006669E7"/>
    <w:rsid w:val="00666CA1"/>
    <w:rsid w:val="0066740C"/>
    <w:rsid w:val="006677E2"/>
    <w:rsid w:val="0066787F"/>
    <w:rsid w:val="00670AD6"/>
    <w:rsid w:val="00670CC9"/>
    <w:rsid w:val="00670D58"/>
    <w:rsid w:val="006712B3"/>
    <w:rsid w:val="00671BF4"/>
    <w:rsid w:val="00671C5A"/>
    <w:rsid w:val="00671F10"/>
    <w:rsid w:val="00671F8F"/>
    <w:rsid w:val="00672507"/>
    <w:rsid w:val="00673184"/>
    <w:rsid w:val="00673254"/>
    <w:rsid w:val="00673305"/>
    <w:rsid w:val="00673EB8"/>
    <w:rsid w:val="00674380"/>
    <w:rsid w:val="006744EF"/>
    <w:rsid w:val="006763B8"/>
    <w:rsid w:val="00676772"/>
    <w:rsid w:val="00676A47"/>
    <w:rsid w:val="006776FA"/>
    <w:rsid w:val="00677955"/>
    <w:rsid w:val="00677A41"/>
    <w:rsid w:val="00677C52"/>
    <w:rsid w:val="00677DA5"/>
    <w:rsid w:val="006806E6"/>
    <w:rsid w:val="006810CD"/>
    <w:rsid w:val="00681DBC"/>
    <w:rsid w:val="00682407"/>
    <w:rsid w:val="00682861"/>
    <w:rsid w:val="00682C6D"/>
    <w:rsid w:val="00683643"/>
    <w:rsid w:val="00683F62"/>
    <w:rsid w:val="006842BD"/>
    <w:rsid w:val="00684A76"/>
    <w:rsid w:val="00684AC8"/>
    <w:rsid w:val="0068518E"/>
    <w:rsid w:val="00685BEE"/>
    <w:rsid w:val="00685E17"/>
    <w:rsid w:val="0068642C"/>
    <w:rsid w:val="00686DB9"/>
    <w:rsid w:val="00686FD8"/>
    <w:rsid w:val="006878F5"/>
    <w:rsid w:val="00687BBB"/>
    <w:rsid w:val="0069098C"/>
    <w:rsid w:val="0069246B"/>
    <w:rsid w:val="00695866"/>
    <w:rsid w:val="0069610F"/>
    <w:rsid w:val="0069644E"/>
    <w:rsid w:val="00696461"/>
    <w:rsid w:val="00696A85"/>
    <w:rsid w:val="00696B12"/>
    <w:rsid w:val="00696BA7"/>
    <w:rsid w:val="00696C31"/>
    <w:rsid w:val="00696DEB"/>
    <w:rsid w:val="00697047"/>
    <w:rsid w:val="00697203"/>
    <w:rsid w:val="006974B0"/>
    <w:rsid w:val="00697C5E"/>
    <w:rsid w:val="00697D1E"/>
    <w:rsid w:val="006A060D"/>
    <w:rsid w:val="006A10E8"/>
    <w:rsid w:val="006A341C"/>
    <w:rsid w:val="006A529F"/>
    <w:rsid w:val="006A58E0"/>
    <w:rsid w:val="006A61D8"/>
    <w:rsid w:val="006A6407"/>
    <w:rsid w:val="006A6671"/>
    <w:rsid w:val="006A6BC0"/>
    <w:rsid w:val="006A7289"/>
    <w:rsid w:val="006A7913"/>
    <w:rsid w:val="006A7C6E"/>
    <w:rsid w:val="006A7E00"/>
    <w:rsid w:val="006B02FC"/>
    <w:rsid w:val="006B0335"/>
    <w:rsid w:val="006B055E"/>
    <w:rsid w:val="006B0D0F"/>
    <w:rsid w:val="006B1615"/>
    <w:rsid w:val="006B2DB5"/>
    <w:rsid w:val="006B3177"/>
    <w:rsid w:val="006B33A6"/>
    <w:rsid w:val="006B3D29"/>
    <w:rsid w:val="006B5E48"/>
    <w:rsid w:val="006B635E"/>
    <w:rsid w:val="006B6CC4"/>
    <w:rsid w:val="006B7E78"/>
    <w:rsid w:val="006B7E8E"/>
    <w:rsid w:val="006B7F59"/>
    <w:rsid w:val="006C0238"/>
    <w:rsid w:val="006C16FE"/>
    <w:rsid w:val="006C18C5"/>
    <w:rsid w:val="006C1D04"/>
    <w:rsid w:val="006C33D7"/>
    <w:rsid w:val="006C3C65"/>
    <w:rsid w:val="006C4026"/>
    <w:rsid w:val="006C4379"/>
    <w:rsid w:val="006C440E"/>
    <w:rsid w:val="006C4CE8"/>
    <w:rsid w:val="006C62E2"/>
    <w:rsid w:val="006C6D15"/>
    <w:rsid w:val="006C7321"/>
    <w:rsid w:val="006C7381"/>
    <w:rsid w:val="006C78F4"/>
    <w:rsid w:val="006D02F9"/>
    <w:rsid w:val="006D036D"/>
    <w:rsid w:val="006D0F0E"/>
    <w:rsid w:val="006D1456"/>
    <w:rsid w:val="006D244F"/>
    <w:rsid w:val="006D280A"/>
    <w:rsid w:val="006D29D9"/>
    <w:rsid w:val="006D3B23"/>
    <w:rsid w:val="006D3BA6"/>
    <w:rsid w:val="006D415C"/>
    <w:rsid w:val="006D50C1"/>
    <w:rsid w:val="006D5212"/>
    <w:rsid w:val="006D5CA7"/>
    <w:rsid w:val="006D5DBD"/>
    <w:rsid w:val="006D687D"/>
    <w:rsid w:val="006D68C3"/>
    <w:rsid w:val="006D6BAF"/>
    <w:rsid w:val="006D6FF7"/>
    <w:rsid w:val="006D795E"/>
    <w:rsid w:val="006D7DFE"/>
    <w:rsid w:val="006D7E91"/>
    <w:rsid w:val="006D7F61"/>
    <w:rsid w:val="006E01A4"/>
    <w:rsid w:val="006E0427"/>
    <w:rsid w:val="006E13EB"/>
    <w:rsid w:val="006E1B69"/>
    <w:rsid w:val="006E1DB9"/>
    <w:rsid w:val="006E1F2C"/>
    <w:rsid w:val="006E214B"/>
    <w:rsid w:val="006E28EB"/>
    <w:rsid w:val="006E2A5E"/>
    <w:rsid w:val="006E2A72"/>
    <w:rsid w:val="006E2E7C"/>
    <w:rsid w:val="006E3A53"/>
    <w:rsid w:val="006E45AA"/>
    <w:rsid w:val="006E4EBB"/>
    <w:rsid w:val="006E4F9C"/>
    <w:rsid w:val="006E5369"/>
    <w:rsid w:val="006E5A63"/>
    <w:rsid w:val="006E5EF8"/>
    <w:rsid w:val="006E67EC"/>
    <w:rsid w:val="006E6F22"/>
    <w:rsid w:val="006E6FD4"/>
    <w:rsid w:val="006E74AC"/>
    <w:rsid w:val="006E7E0A"/>
    <w:rsid w:val="006E7FD4"/>
    <w:rsid w:val="006F0591"/>
    <w:rsid w:val="006F0F31"/>
    <w:rsid w:val="006F103E"/>
    <w:rsid w:val="006F198F"/>
    <w:rsid w:val="006F1E28"/>
    <w:rsid w:val="006F259F"/>
    <w:rsid w:val="006F3337"/>
    <w:rsid w:val="006F38DD"/>
    <w:rsid w:val="006F3A3E"/>
    <w:rsid w:val="006F3F7B"/>
    <w:rsid w:val="006F407A"/>
    <w:rsid w:val="006F44DC"/>
    <w:rsid w:val="006F573A"/>
    <w:rsid w:val="006F5ABF"/>
    <w:rsid w:val="006F5B2D"/>
    <w:rsid w:val="006F5B4A"/>
    <w:rsid w:val="006F60B4"/>
    <w:rsid w:val="006F63B3"/>
    <w:rsid w:val="006F6498"/>
    <w:rsid w:val="006F6698"/>
    <w:rsid w:val="006F68F6"/>
    <w:rsid w:val="006F6920"/>
    <w:rsid w:val="006F727A"/>
    <w:rsid w:val="006F76E6"/>
    <w:rsid w:val="006F7AB7"/>
    <w:rsid w:val="006F7B4D"/>
    <w:rsid w:val="007001A8"/>
    <w:rsid w:val="00700AE7"/>
    <w:rsid w:val="00700BC6"/>
    <w:rsid w:val="0070106C"/>
    <w:rsid w:val="00701303"/>
    <w:rsid w:val="0070147D"/>
    <w:rsid w:val="00702EF0"/>
    <w:rsid w:val="00703A48"/>
    <w:rsid w:val="00704A7B"/>
    <w:rsid w:val="00704BD6"/>
    <w:rsid w:val="00705372"/>
    <w:rsid w:val="00705828"/>
    <w:rsid w:val="0070593E"/>
    <w:rsid w:val="00705F00"/>
    <w:rsid w:val="00705F06"/>
    <w:rsid w:val="00705FF5"/>
    <w:rsid w:val="007063DA"/>
    <w:rsid w:val="00706BF7"/>
    <w:rsid w:val="00707016"/>
    <w:rsid w:val="00710281"/>
    <w:rsid w:val="007103EB"/>
    <w:rsid w:val="00710778"/>
    <w:rsid w:val="00710A36"/>
    <w:rsid w:val="00711396"/>
    <w:rsid w:val="00712146"/>
    <w:rsid w:val="0071250C"/>
    <w:rsid w:val="00712AFE"/>
    <w:rsid w:val="00713674"/>
    <w:rsid w:val="00713B96"/>
    <w:rsid w:val="00714BB0"/>
    <w:rsid w:val="00714F7E"/>
    <w:rsid w:val="007165B7"/>
    <w:rsid w:val="00716904"/>
    <w:rsid w:val="00716CDA"/>
    <w:rsid w:val="007174AE"/>
    <w:rsid w:val="00717D1C"/>
    <w:rsid w:val="007200DC"/>
    <w:rsid w:val="00720735"/>
    <w:rsid w:val="00720750"/>
    <w:rsid w:val="00721110"/>
    <w:rsid w:val="00722401"/>
    <w:rsid w:val="00722EC6"/>
    <w:rsid w:val="00723633"/>
    <w:rsid w:val="00723D20"/>
    <w:rsid w:val="007241AB"/>
    <w:rsid w:val="007252EF"/>
    <w:rsid w:val="00725535"/>
    <w:rsid w:val="007256CE"/>
    <w:rsid w:val="00725D17"/>
    <w:rsid w:val="00726347"/>
    <w:rsid w:val="00730163"/>
    <w:rsid w:val="0073089A"/>
    <w:rsid w:val="007309FC"/>
    <w:rsid w:val="007311BF"/>
    <w:rsid w:val="00731217"/>
    <w:rsid w:val="0073151A"/>
    <w:rsid w:val="00731965"/>
    <w:rsid w:val="00731E84"/>
    <w:rsid w:val="00731F03"/>
    <w:rsid w:val="00732059"/>
    <w:rsid w:val="00732260"/>
    <w:rsid w:val="00732BF4"/>
    <w:rsid w:val="007330B3"/>
    <w:rsid w:val="00733AC7"/>
    <w:rsid w:val="00733E59"/>
    <w:rsid w:val="00734D10"/>
    <w:rsid w:val="00734D18"/>
    <w:rsid w:val="00734E05"/>
    <w:rsid w:val="00734E0F"/>
    <w:rsid w:val="00734F40"/>
    <w:rsid w:val="007350E0"/>
    <w:rsid w:val="007356C9"/>
    <w:rsid w:val="007358F6"/>
    <w:rsid w:val="00736290"/>
    <w:rsid w:val="00736BAA"/>
    <w:rsid w:val="007370A3"/>
    <w:rsid w:val="0073741E"/>
    <w:rsid w:val="007374F7"/>
    <w:rsid w:val="00737807"/>
    <w:rsid w:val="00737ABE"/>
    <w:rsid w:val="007406EE"/>
    <w:rsid w:val="00741352"/>
    <w:rsid w:val="00741717"/>
    <w:rsid w:val="0074171C"/>
    <w:rsid w:val="00741ABF"/>
    <w:rsid w:val="0074256E"/>
    <w:rsid w:val="007426D8"/>
    <w:rsid w:val="00742DF9"/>
    <w:rsid w:val="00743735"/>
    <w:rsid w:val="00743AF4"/>
    <w:rsid w:val="00744589"/>
    <w:rsid w:val="00745654"/>
    <w:rsid w:val="007458F3"/>
    <w:rsid w:val="00745AEE"/>
    <w:rsid w:val="00745F8F"/>
    <w:rsid w:val="00746078"/>
    <w:rsid w:val="00746906"/>
    <w:rsid w:val="00746B24"/>
    <w:rsid w:val="00747D02"/>
    <w:rsid w:val="00750997"/>
    <w:rsid w:val="00750D5A"/>
    <w:rsid w:val="00751105"/>
    <w:rsid w:val="007516FA"/>
    <w:rsid w:val="00753272"/>
    <w:rsid w:val="0075368C"/>
    <w:rsid w:val="00753967"/>
    <w:rsid w:val="00754B1C"/>
    <w:rsid w:val="00755185"/>
    <w:rsid w:val="00755CE5"/>
    <w:rsid w:val="00755F7E"/>
    <w:rsid w:val="00756914"/>
    <w:rsid w:val="00757276"/>
    <w:rsid w:val="00760B39"/>
    <w:rsid w:val="00760EB4"/>
    <w:rsid w:val="007614CC"/>
    <w:rsid w:val="00761B26"/>
    <w:rsid w:val="00762C2D"/>
    <w:rsid w:val="0076407F"/>
    <w:rsid w:val="007668C3"/>
    <w:rsid w:val="00767032"/>
    <w:rsid w:val="007670DF"/>
    <w:rsid w:val="00767586"/>
    <w:rsid w:val="00767DBF"/>
    <w:rsid w:val="00770145"/>
    <w:rsid w:val="00770433"/>
    <w:rsid w:val="00770865"/>
    <w:rsid w:val="00771B6E"/>
    <w:rsid w:val="00772006"/>
    <w:rsid w:val="007726A4"/>
    <w:rsid w:val="007730A4"/>
    <w:rsid w:val="007742B2"/>
    <w:rsid w:val="007748E0"/>
    <w:rsid w:val="00775E47"/>
    <w:rsid w:val="0077678D"/>
    <w:rsid w:val="00776C64"/>
    <w:rsid w:val="00776CFD"/>
    <w:rsid w:val="007773C7"/>
    <w:rsid w:val="00777565"/>
    <w:rsid w:val="007776FD"/>
    <w:rsid w:val="00777E54"/>
    <w:rsid w:val="00780851"/>
    <w:rsid w:val="00781101"/>
    <w:rsid w:val="007813BB"/>
    <w:rsid w:val="007815DE"/>
    <w:rsid w:val="007815F2"/>
    <w:rsid w:val="0078163E"/>
    <w:rsid w:val="00781A80"/>
    <w:rsid w:val="00781F2A"/>
    <w:rsid w:val="00782268"/>
    <w:rsid w:val="007825EF"/>
    <w:rsid w:val="00782E12"/>
    <w:rsid w:val="00782E88"/>
    <w:rsid w:val="007830B3"/>
    <w:rsid w:val="007831C6"/>
    <w:rsid w:val="007836BB"/>
    <w:rsid w:val="007838F6"/>
    <w:rsid w:val="00783E28"/>
    <w:rsid w:val="00783F7F"/>
    <w:rsid w:val="007846AF"/>
    <w:rsid w:val="0078487A"/>
    <w:rsid w:val="00785072"/>
    <w:rsid w:val="0078512F"/>
    <w:rsid w:val="00785464"/>
    <w:rsid w:val="00785DDF"/>
    <w:rsid w:val="0078710A"/>
    <w:rsid w:val="0078710D"/>
    <w:rsid w:val="00790285"/>
    <w:rsid w:val="007911E9"/>
    <w:rsid w:val="007920AD"/>
    <w:rsid w:val="00792281"/>
    <w:rsid w:val="007924EB"/>
    <w:rsid w:val="00792903"/>
    <w:rsid w:val="00792D4C"/>
    <w:rsid w:val="00792FFF"/>
    <w:rsid w:val="007932C0"/>
    <w:rsid w:val="00795B0E"/>
    <w:rsid w:val="00796790"/>
    <w:rsid w:val="0079711C"/>
    <w:rsid w:val="00797A7F"/>
    <w:rsid w:val="007A0873"/>
    <w:rsid w:val="007A1315"/>
    <w:rsid w:val="007A1765"/>
    <w:rsid w:val="007A1B25"/>
    <w:rsid w:val="007A1D2D"/>
    <w:rsid w:val="007A1F89"/>
    <w:rsid w:val="007A3078"/>
    <w:rsid w:val="007A3A02"/>
    <w:rsid w:val="007A3F32"/>
    <w:rsid w:val="007A46EC"/>
    <w:rsid w:val="007A5174"/>
    <w:rsid w:val="007A53D3"/>
    <w:rsid w:val="007A5462"/>
    <w:rsid w:val="007A55D3"/>
    <w:rsid w:val="007A6225"/>
    <w:rsid w:val="007A6356"/>
    <w:rsid w:val="007A6415"/>
    <w:rsid w:val="007A66F8"/>
    <w:rsid w:val="007A6AD6"/>
    <w:rsid w:val="007A7AC8"/>
    <w:rsid w:val="007A7B07"/>
    <w:rsid w:val="007B015E"/>
    <w:rsid w:val="007B01A9"/>
    <w:rsid w:val="007B0309"/>
    <w:rsid w:val="007B0774"/>
    <w:rsid w:val="007B29BC"/>
    <w:rsid w:val="007B2CF9"/>
    <w:rsid w:val="007B2E6A"/>
    <w:rsid w:val="007B301C"/>
    <w:rsid w:val="007B3492"/>
    <w:rsid w:val="007B36CE"/>
    <w:rsid w:val="007B3992"/>
    <w:rsid w:val="007B40CD"/>
    <w:rsid w:val="007B41AA"/>
    <w:rsid w:val="007B4BE2"/>
    <w:rsid w:val="007B4EB3"/>
    <w:rsid w:val="007B4FBA"/>
    <w:rsid w:val="007B5E8B"/>
    <w:rsid w:val="007B5FAE"/>
    <w:rsid w:val="007B64BE"/>
    <w:rsid w:val="007B68AC"/>
    <w:rsid w:val="007B765A"/>
    <w:rsid w:val="007C081C"/>
    <w:rsid w:val="007C0AEE"/>
    <w:rsid w:val="007C10F0"/>
    <w:rsid w:val="007C11F4"/>
    <w:rsid w:val="007C1231"/>
    <w:rsid w:val="007C164D"/>
    <w:rsid w:val="007C23FD"/>
    <w:rsid w:val="007C3E74"/>
    <w:rsid w:val="007C4E85"/>
    <w:rsid w:val="007C513D"/>
    <w:rsid w:val="007C5C47"/>
    <w:rsid w:val="007C7547"/>
    <w:rsid w:val="007D04DE"/>
    <w:rsid w:val="007D2715"/>
    <w:rsid w:val="007D2A52"/>
    <w:rsid w:val="007D301B"/>
    <w:rsid w:val="007D36DD"/>
    <w:rsid w:val="007D3821"/>
    <w:rsid w:val="007D5BE5"/>
    <w:rsid w:val="007D6021"/>
    <w:rsid w:val="007D65DF"/>
    <w:rsid w:val="007D7D67"/>
    <w:rsid w:val="007E022A"/>
    <w:rsid w:val="007E131A"/>
    <w:rsid w:val="007E1948"/>
    <w:rsid w:val="007E2192"/>
    <w:rsid w:val="007E2307"/>
    <w:rsid w:val="007E270E"/>
    <w:rsid w:val="007E2A1D"/>
    <w:rsid w:val="007E2B4E"/>
    <w:rsid w:val="007E2E74"/>
    <w:rsid w:val="007E312A"/>
    <w:rsid w:val="007E3208"/>
    <w:rsid w:val="007E36A7"/>
    <w:rsid w:val="007E3919"/>
    <w:rsid w:val="007E3F28"/>
    <w:rsid w:val="007E482D"/>
    <w:rsid w:val="007E4B6B"/>
    <w:rsid w:val="007E4E21"/>
    <w:rsid w:val="007E4FAB"/>
    <w:rsid w:val="007E506A"/>
    <w:rsid w:val="007E61F5"/>
    <w:rsid w:val="007E64CD"/>
    <w:rsid w:val="007E6D4E"/>
    <w:rsid w:val="007E7EC3"/>
    <w:rsid w:val="007F0101"/>
    <w:rsid w:val="007F074B"/>
    <w:rsid w:val="007F0C58"/>
    <w:rsid w:val="007F0F61"/>
    <w:rsid w:val="007F153F"/>
    <w:rsid w:val="007F18DA"/>
    <w:rsid w:val="007F1C7C"/>
    <w:rsid w:val="007F2884"/>
    <w:rsid w:val="007F2C87"/>
    <w:rsid w:val="007F30CE"/>
    <w:rsid w:val="007F3A83"/>
    <w:rsid w:val="007F42D9"/>
    <w:rsid w:val="007F4F7A"/>
    <w:rsid w:val="007F5A54"/>
    <w:rsid w:val="007F660F"/>
    <w:rsid w:val="007F707C"/>
    <w:rsid w:val="007F73F0"/>
    <w:rsid w:val="007F7631"/>
    <w:rsid w:val="008001C0"/>
    <w:rsid w:val="00800767"/>
    <w:rsid w:val="00801465"/>
    <w:rsid w:val="00801ACC"/>
    <w:rsid w:val="00802150"/>
    <w:rsid w:val="00802A3F"/>
    <w:rsid w:val="00802C12"/>
    <w:rsid w:val="008041D5"/>
    <w:rsid w:val="00804F91"/>
    <w:rsid w:val="00805211"/>
    <w:rsid w:val="00805AFF"/>
    <w:rsid w:val="00806181"/>
    <w:rsid w:val="00806371"/>
    <w:rsid w:val="00807008"/>
    <w:rsid w:val="00807E0A"/>
    <w:rsid w:val="00810166"/>
    <w:rsid w:val="00810ABC"/>
    <w:rsid w:val="00811833"/>
    <w:rsid w:val="00811A9C"/>
    <w:rsid w:val="008121FD"/>
    <w:rsid w:val="00812D54"/>
    <w:rsid w:val="0081317D"/>
    <w:rsid w:val="008144DD"/>
    <w:rsid w:val="00814DA0"/>
    <w:rsid w:val="00814FB1"/>
    <w:rsid w:val="00816563"/>
    <w:rsid w:val="008178D3"/>
    <w:rsid w:val="00817932"/>
    <w:rsid w:val="00817BB4"/>
    <w:rsid w:val="0082032D"/>
    <w:rsid w:val="00820A3E"/>
    <w:rsid w:val="00820A71"/>
    <w:rsid w:val="00820F36"/>
    <w:rsid w:val="00820F6F"/>
    <w:rsid w:val="00822BF5"/>
    <w:rsid w:val="00823433"/>
    <w:rsid w:val="00823BA3"/>
    <w:rsid w:val="00823D31"/>
    <w:rsid w:val="00824E9E"/>
    <w:rsid w:val="00824EE3"/>
    <w:rsid w:val="008251F0"/>
    <w:rsid w:val="00825369"/>
    <w:rsid w:val="00825644"/>
    <w:rsid w:val="008256E0"/>
    <w:rsid w:val="008259A7"/>
    <w:rsid w:val="008262FE"/>
    <w:rsid w:val="008264EE"/>
    <w:rsid w:val="008265DB"/>
    <w:rsid w:val="00826D04"/>
    <w:rsid w:val="00827777"/>
    <w:rsid w:val="00827B35"/>
    <w:rsid w:val="00827C61"/>
    <w:rsid w:val="008302CC"/>
    <w:rsid w:val="008302F2"/>
    <w:rsid w:val="00830F9C"/>
    <w:rsid w:val="00831A7F"/>
    <w:rsid w:val="00831B00"/>
    <w:rsid w:val="008331E0"/>
    <w:rsid w:val="00833CF0"/>
    <w:rsid w:val="00833F7B"/>
    <w:rsid w:val="00834366"/>
    <w:rsid w:val="00835699"/>
    <w:rsid w:val="00835A06"/>
    <w:rsid w:val="00835B65"/>
    <w:rsid w:val="00835E28"/>
    <w:rsid w:val="00836057"/>
    <w:rsid w:val="008367DF"/>
    <w:rsid w:val="0083764C"/>
    <w:rsid w:val="008379DB"/>
    <w:rsid w:val="008401B9"/>
    <w:rsid w:val="00840534"/>
    <w:rsid w:val="0084084C"/>
    <w:rsid w:val="00840ABC"/>
    <w:rsid w:val="0084117E"/>
    <w:rsid w:val="0084149D"/>
    <w:rsid w:val="00841C7F"/>
    <w:rsid w:val="0084262F"/>
    <w:rsid w:val="008427E7"/>
    <w:rsid w:val="00842D73"/>
    <w:rsid w:val="008433B8"/>
    <w:rsid w:val="00843822"/>
    <w:rsid w:val="008443E6"/>
    <w:rsid w:val="00844A4B"/>
    <w:rsid w:val="00844CCD"/>
    <w:rsid w:val="00844E16"/>
    <w:rsid w:val="008451B2"/>
    <w:rsid w:val="008455EC"/>
    <w:rsid w:val="008456AD"/>
    <w:rsid w:val="00845D3E"/>
    <w:rsid w:val="008462AC"/>
    <w:rsid w:val="008465B5"/>
    <w:rsid w:val="00846A43"/>
    <w:rsid w:val="00846A8E"/>
    <w:rsid w:val="00846B39"/>
    <w:rsid w:val="00846FC4"/>
    <w:rsid w:val="00846FE6"/>
    <w:rsid w:val="008473B8"/>
    <w:rsid w:val="008475C0"/>
    <w:rsid w:val="00847DD3"/>
    <w:rsid w:val="00847F72"/>
    <w:rsid w:val="008506D5"/>
    <w:rsid w:val="00850EFF"/>
    <w:rsid w:val="008516E0"/>
    <w:rsid w:val="00851854"/>
    <w:rsid w:val="00851F68"/>
    <w:rsid w:val="008521D5"/>
    <w:rsid w:val="008523C5"/>
    <w:rsid w:val="008529A2"/>
    <w:rsid w:val="008532B1"/>
    <w:rsid w:val="0085351E"/>
    <w:rsid w:val="008535AB"/>
    <w:rsid w:val="00854CE1"/>
    <w:rsid w:val="00855FE2"/>
    <w:rsid w:val="008563C2"/>
    <w:rsid w:val="0085647C"/>
    <w:rsid w:val="00856DC1"/>
    <w:rsid w:val="0085716A"/>
    <w:rsid w:val="00860532"/>
    <w:rsid w:val="00860748"/>
    <w:rsid w:val="00860F29"/>
    <w:rsid w:val="008614DB"/>
    <w:rsid w:val="00861CAC"/>
    <w:rsid w:val="00862901"/>
    <w:rsid w:val="00862E69"/>
    <w:rsid w:val="00863BD8"/>
    <w:rsid w:val="00863E2B"/>
    <w:rsid w:val="00864C9B"/>
    <w:rsid w:val="008650D0"/>
    <w:rsid w:val="008669CC"/>
    <w:rsid w:val="00866DE1"/>
    <w:rsid w:val="0086764B"/>
    <w:rsid w:val="00867818"/>
    <w:rsid w:val="00867E0C"/>
    <w:rsid w:val="00867F7A"/>
    <w:rsid w:val="008702D3"/>
    <w:rsid w:val="008710A4"/>
    <w:rsid w:val="008723E8"/>
    <w:rsid w:val="00872D93"/>
    <w:rsid w:val="00873043"/>
    <w:rsid w:val="008730BF"/>
    <w:rsid w:val="00873799"/>
    <w:rsid w:val="00873ADF"/>
    <w:rsid w:val="00874BBF"/>
    <w:rsid w:val="00874F7C"/>
    <w:rsid w:val="0087502B"/>
    <w:rsid w:val="0087599B"/>
    <w:rsid w:val="00875BFF"/>
    <w:rsid w:val="008772A9"/>
    <w:rsid w:val="008773E5"/>
    <w:rsid w:val="008774C0"/>
    <w:rsid w:val="00877A31"/>
    <w:rsid w:val="00877E0E"/>
    <w:rsid w:val="0088028E"/>
    <w:rsid w:val="00880D47"/>
    <w:rsid w:val="00882A5C"/>
    <w:rsid w:val="00882B54"/>
    <w:rsid w:val="00882C2F"/>
    <w:rsid w:val="008840E4"/>
    <w:rsid w:val="00884422"/>
    <w:rsid w:val="00884520"/>
    <w:rsid w:val="00884872"/>
    <w:rsid w:val="00886110"/>
    <w:rsid w:val="0088724A"/>
    <w:rsid w:val="00890787"/>
    <w:rsid w:val="00890AC5"/>
    <w:rsid w:val="00890EA0"/>
    <w:rsid w:val="00891295"/>
    <w:rsid w:val="00891CA7"/>
    <w:rsid w:val="00892DDA"/>
    <w:rsid w:val="00892F5D"/>
    <w:rsid w:val="00893220"/>
    <w:rsid w:val="00893DE0"/>
    <w:rsid w:val="0089417D"/>
    <w:rsid w:val="00894510"/>
    <w:rsid w:val="00895294"/>
    <w:rsid w:val="0089575A"/>
    <w:rsid w:val="00895CD3"/>
    <w:rsid w:val="008966A9"/>
    <w:rsid w:val="008968E2"/>
    <w:rsid w:val="00897034"/>
    <w:rsid w:val="008974B9"/>
    <w:rsid w:val="00897C19"/>
    <w:rsid w:val="008A0365"/>
    <w:rsid w:val="008A0B2C"/>
    <w:rsid w:val="008A0C25"/>
    <w:rsid w:val="008A0E0B"/>
    <w:rsid w:val="008A13F7"/>
    <w:rsid w:val="008A16C2"/>
    <w:rsid w:val="008A21B6"/>
    <w:rsid w:val="008A2269"/>
    <w:rsid w:val="008A24E0"/>
    <w:rsid w:val="008A2B88"/>
    <w:rsid w:val="008A3973"/>
    <w:rsid w:val="008A3C55"/>
    <w:rsid w:val="008A40BB"/>
    <w:rsid w:val="008A4566"/>
    <w:rsid w:val="008A486B"/>
    <w:rsid w:val="008A5388"/>
    <w:rsid w:val="008A5720"/>
    <w:rsid w:val="008A6240"/>
    <w:rsid w:val="008A6296"/>
    <w:rsid w:val="008A66FC"/>
    <w:rsid w:val="008A6A2D"/>
    <w:rsid w:val="008A6CD7"/>
    <w:rsid w:val="008A6E92"/>
    <w:rsid w:val="008A728C"/>
    <w:rsid w:val="008A72A9"/>
    <w:rsid w:val="008A78E0"/>
    <w:rsid w:val="008B00C1"/>
    <w:rsid w:val="008B02D6"/>
    <w:rsid w:val="008B0957"/>
    <w:rsid w:val="008B12D4"/>
    <w:rsid w:val="008B15FC"/>
    <w:rsid w:val="008B1D5C"/>
    <w:rsid w:val="008B241D"/>
    <w:rsid w:val="008B2C35"/>
    <w:rsid w:val="008B2C66"/>
    <w:rsid w:val="008B4121"/>
    <w:rsid w:val="008B42AF"/>
    <w:rsid w:val="008B5080"/>
    <w:rsid w:val="008B52B1"/>
    <w:rsid w:val="008B538B"/>
    <w:rsid w:val="008B6449"/>
    <w:rsid w:val="008B68C5"/>
    <w:rsid w:val="008B734E"/>
    <w:rsid w:val="008B742E"/>
    <w:rsid w:val="008B7647"/>
    <w:rsid w:val="008B7CA4"/>
    <w:rsid w:val="008C06AC"/>
    <w:rsid w:val="008C11F4"/>
    <w:rsid w:val="008C1BE4"/>
    <w:rsid w:val="008C1ECF"/>
    <w:rsid w:val="008C1F56"/>
    <w:rsid w:val="008C2096"/>
    <w:rsid w:val="008C2340"/>
    <w:rsid w:val="008C2910"/>
    <w:rsid w:val="008C29A7"/>
    <w:rsid w:val="008C3362"/>
    <w:rsid w:val="008C399B"/>
    <w:rsid w:val="008C44C7"/>
    <w:rsid w:val="008C4597"/>
    <w:rsid w:val="008C48D3"/>
    <w:rsid w:val="008C4900"/>
    <w:rsid w:val="008C49C9"/>
    <w:rsid w:val="008C4E89"/>
    <w:rsid w:val="008C5080"/>
    <w:rsid w:val="008C5C8C"/>
    <w:rsid w:val="008C609B"/>
    <w:rsid w:val="008D0A18"/>
    <w:rsid w:val="008D1639"/>
    <w:rsid w:val="008D234C"/>
    <w:rsid w:val="008D27C7"/>
    <w:rsid w:val="008D289C"/>
    <w:rsid w:val="008D33C1"/>
    <w:rsid w:val="008D38B0"/>
    <w:rsid w:val="008D390E"/>
    <w:rsid w:val="008D3A19"/>
    <w:rsid w:val="008D3DFB"/>
    <w:rsid w:val="008D427F"/>
    <w:rsid w:val="008D4424"/>
    <w:rsid w:val="008D476B"/>
    <w:rsid w:val="008D48C1"/>
    <w:rsid w:val="008D4F2C"/>
    <w:rsid w:val="008D5988"/>
    <w:rsid w:val="008D5C6D"/>
    <w:rsid w:val="008D5E14"/>
    <w:rsid w:val="008D5FF6"/>
    <w:rsid w:val="008D64A5"/>
    <w:rsid w:val="008D6D21"/>
    <w:rsid w:val="008D721A"/>
    <w:rsid w:val="008D7800"/>
    <w:rsid w:val="008E01DD"/>
    <w:rsid w:val="008E0502"/>
    <w:rsid w:val="008E0828"/>
    <w:rsid w:val="008E0957"/>
    <w:rsid w:val="008E0CF0"/>
    <w:rsid w:val="008E14C7"/>
    <w:rsid w:val="008E1D07"/>
    <w:rsid w:val="008E1F69"/>
    <w:rsid w:val="008E206D"/>
    <w:rsid w:val="008E2951"/>
    <w:rsid w:val="008E2AD6"/>
    <w:rsid w:val="008E2E20"/>
    <w:rsid w:val="008E30D8"/>
    <w:rsid w:val="008E31A7"/>
    <w:rsid w:val="008E3990"/>
    <w:rsid w:val="008E41A5"/>
    <w:rsid w:val="008E43E6"/>
    <w:rsid w:val="008E4D64"/>
    <w:rsid w:val="008E5CCD"/>
    <w:rsid w:val="008E646F"/>
    <w:rsid w:val="008E69D5"/>
    <w:rsid w:val="008F01D7"/>
    <w:rsid w:val="008F0463"/>
    <w:rsid w:val="008F0C89"/>
    <w:rsid w:val="008F0F07"/>
    <w:rsid w:val="008F143C"/>
    <w:rsid w:val="008F3093"/>
    <w:rsid w:val="008F3291"/>
    <w:rsid w:val="008F5325"/>
    <w:rsid w:val="008F5A03"/>
    <w:rsid w:val="008F5CDB"/>
    <w:rsid w:val="008F6BBA"/>
    <w:rsid w:val="008F6C61"/>
    <w:rsid w:val="008F77C4"/>
    <w:rsid w:val="0090061A"/>
    <w:rsid w:val="009008D8"/>
    <w:rsid w:val="00901045"/>
    <w:rsid w:val="0090145C"/>
    <w:rsid w:val="00901923"/>
    <w:rsid w:val="00902F70"/>
    <w:rsid w:val="00903173"/>
    <w:rsid w:val="009038B6"/>
    <w:rsid w:val="00904212"/>
    <w:rsid w:val="00904FB1"/>
    <w:rsid w:val="0090551C"/>
    <w:rsid w:val="009079E7"/>
    <w:rsid w:val="00910AA0"/>
    <w:rsid w:val="009114E0"/>
    <w:rsid w:val="0091304C"/>
    <w:rsid w:val="00913252"/>
    <w:rsid w:val="0091389F"/>
    <w:rsid w:val="00913FB6"/>
    <w:rsid w:val="009140E5"/>
    <w:rsid w:val="009154ED"/>
    <w:rsid w:val="0091569A"/>
    <w:rsid w:val="009164F7"/>
    <w:rsid w:val="00916EA4"/>
    <w:rsid w:val="00917136"/>
    <w:rsid w:val="0091769F"/>
    <w:rsid w:val="00921099"/>
    <w:rsid w:val="009212CF"/>
    <w:rsid w:val="00921755"/>
    <w:rsid w:val="00922BB7"/>
    <w:rsid w:val="009230ED"/>
    <w:rsid w:val="0092310D"/>
    <w:rsid w:val="0092362A"/>
    <w:rsid w:val="009238E0"/>
    <w:rsid w:val="009239B8"/>
    <w:rsid w:val="00923E3E"/>
    <w:rsid w:val="00924A36"/>
    <w:rsid w:val="00925144"/>
    <w:rsid w:val="00926B32"/>
    <w:rsid w:val="00926E82"/>
    <w:rsid w:val="009270C7"/>
    <w:rsid w:val="00927255"/>
    <w:rsid w:val="00927385"/>
    <w:rsid w:val="009276F3"/>
    <w:rsid w:val="009311A3"/>
    <w:rsid w:val="0093177F"/>
    <w:rsid w:val="0093185C"/>
    <w:rsid w:val="00931D4C"/>
    <w:rsid w:val="009329F8"/>
    <w:rsid w:val="00932CCF"/>
    <w:rsid w:val="00932DCD"/>
    <w:rsid w:val="00933264"/>
    <w:rsid w:val="00933730"/>
    <w:rsid w:val="00933907"/>
    <w:rsid w:val="00933E13"/>
    <w:rsid w:val="00934E50"/>
    <w:rsid w:val="009350ED"/>
    <w:rsid w:val="00935F1A"/>
    <w:rsid w:val="00936DDF"/>
    <w:rsid w:val="00936ECC"/>
    <w:rsid w:val="00936F80"/>
    <w:rsid w:val="00940838"/>
    <w:rsid w:val="00940968"/>
    <w:rsid w:val="00941D4B"/>
    <w:rsid w:val="009424BD"/>
    <w:rsid w:val="009426FD"/>
    <w:rsid w:val="00942BAA"/>
    <w:rsid w:val="00942C77"/>
    <w:rsid w:val="0094348D"/>
    <w:rsid w:val="009436C8"/>
    <w:rsid w:val="00943A93"/>
    <w:rsid w:val="00943E19"/>
    <w:rsid w:val="00943EF2"/>
    <w:rsid w:val="0094422F"/>
    <w:rsid w:val="00944771"/>
    <w:rsid w:val="0094529F"/>
    <w:rsid w:val="00945602"/>
    <w:rsid w:val="00945D7C"/>
    <w:rsid w:val="00946478"/>
    <w:rsid w:val="0094659D"/>
    <w:rsid w:val="00947848"/>
    <w:rsid w:val="0095036C"/>
    <w:rsid w:val="00950479"/>
    <w:rsid w:val="009504F7"/>
    <w:rsid w:val="00950C0C"/>
    <w:rsid w:val="00951679"/>
    <w:rsid w:val="00951849"/>
    <w:rsid w:val="0095316A"/>
    <w:rsid w:val="0095386F"/>
    <w:rsid w:val="00953CB3"/>
    <w:rsid w:val="00953FB4"/>
    <w:rsid w:val="00954F83"/>
    <w:rsid w:val="00955684"/>
    <w:rsid w:val="00955CBF"/>
    <w:rsid w:val="00956272"/>
    <w:rsid w:val="00956318"/>
    <w:rsid w:val="009564DE"/>
    <w:rsid w:val="00956A23"/>
    <w:rsid w:val="00956FC2"/>
    <w:rsid w:val="009576CC"/>
    <w:rsid w:val="00957AB3"/>
    <w:rsid w:val="00957E5F"/>
    <w:rsid w:val="009601A3"/>
    <w:rsid w:val="00960DFC"/>
    <w:rsid w:val="00961C0B"/>
    <w:rsid w:val="00962981"/>
    <w:rsid w:val="009633AF"/>
    <w:rsid w:val="00963C75"/>
    <w:rsid w:val="0096401D"/>
    <w:rsid w:val="00964445"/>
    <w:rsid w:val="0096457B"/>
    <w:rsid w:val="0096494E"/>
    <w:rsid w:val="00964E50"/>
    <w:rsid w:val="00965EAE"/>
    <w:rsid w:val="0096612B"/>
    <w:rsid w:val="009667F7"/>
    <w:rsid w:val="0096691B"/>
    <w:rsid w:val="00967368"/>
    <w:rsid w:val="00970DC5"/>
    <w:rsid w:val="009713D8"/>
    <w:rsid w:val="00972449"/>
    <w:rsid w:val="0097258F"/>
    <w:rsid w:val="00972950"/>
    <w:rsid w:val="00972B90"/>
    <w:rsid w:val="0097316E"/>
    <w:rsid w:val="00973668"/>
    <w:rsid w:val="00975B58"/>
    <w:rsid w:val="00975E10"/>
    <w:rsid w:val="00976BF5"/>
    <w:rsid w:val="00976C73"/>
    <w:rsid w:val="0098023E"/>
    <w:rsid w:val="009806D7"/>
    <w:rsid w:val="009812A6"/>
    <w:rsid w:val="009817BC"/>
    <w:rsid w:val="00981B61"/>
    <w:rsid w:val="00982971"/>
    <w:rsid w:val="009831DB"/>
    <w:rsid w:val="00983D26"/>
    <w:rsid w:val="009845B0"/>
    <w:rsid w:val="00984839"/>
    <w:rsid w:val="00985387"/>
    <w:rsid w:val="00985BEF"/>
    <w:rsid w:val="0098743D"/>
    <w:rsid w:val="009874EE"/>
    <w:rsid w:val="00987787"/>
    <w:rsid w:val="00990367"/>
    <w:rsid w:val="009908C9"/>
    <w:rsid w:val="00990B07"/>
    <w:rsid w:val="00991E29"/>
    <w:rsid w:val="0099226E"/>
    <w:rsid w:val="00992401"/>
    <w:rsid w:val="00992F16"/>
    <w:rsid w:val="009944C4"/>
    <w:rsid w:val="0099473F"/>
    <w:rsid w:val="00995192"/>
    <w:rsid w:val="00995FFB"/>
    <w:rsid w:val="009973D5"/>
    <w:rsid w:val="009A0185"/>
    <w:rsid w:val="009A0C6D"/>
    <w:rsid w:val="009A1494"/>
    <w:rsid w:val="009A19F4"/>
    <w:rsid w:val="009A1C7F"/>
    <w:rsid w:val="009A1F8C"/>
    <w:rsid w:val="009A3805"/>
    <w:rsid w:val="009A3C2D"/>
    <w:rsid w:val="009A3EB2"/>
    <w:rsid w:val="009A3FDB"/>
    <w:rsid w:val="009A4251"/>
    <w:rsid w:val="009A4B50"/>
    <w:rsid w:val="009A4DB0"/>
    <w:rsid w:val="009A59F7"/>
    <w:rsid w:val="009A5F41"/>
    <w:rsid w:val="009A6BB2"/>
    <w:rsid w:val="009A6FE6"/>
    <w:rsid w:val="009A754D"/>
    <w:rsid w:val="009A757A"/>
    <w:rsid w:val="009A7CC9"/>
    <w:rsid w:val="009B0D29"/>
    <w:rsid w:val="009B159D"/>
    <w:rsid w:val="009B2674"/>
    <w:rsid w:val="009B333E"/>
    <w:rsid w:val="009B3AD9"/>
    <w:rsid w:val="009B3BE9"/>
    <w:rsid w:val="009B4440"/>
    <w:rsid w:val="009B4737"/>
    <w:rsid w:val="009B62C0"/>
    <w:rsid w:val="009B6B53"/>
    <w:rsid w:val="009B771B"/>
    <w:rsid w:val="009C039B"/>
    <w:rsid w:val="009C06DE"/>
    <w:rsid w:val="009C0EBD"/>
    <w:rsid w:val="009C115F"/>
    <w:rsid w:val="009C1240"/>
    <w:rsid w:val="009C1F1A"/>
    <w:rsid w:val="009C2107"/>
    <w:rsid w:val="009C240A"/>
    <w:rsid w:val="009C268E"/>
    <w:rsid w:val="009C3041"/>
    <w:rsid w:val="009C3650"/>
    <w:rsid w:val="009C4324"/>
    <w:rsid w:val="009C445E"/>
    <w:rsid w:val="009C4556"/>
    <w:rsid w:val="009C4BC0"/>
    <w:rsid w:val="009C4F3A"/>
    <w:rsid w:val="009C561D"/>
    <w:rsid w:val="009C6E84"/>
    <w:rsid w:val="009C78FF"/>
    <w:rsid w:val="009C7D5B"/>
    <w:rsid w:val="009D0293"/>
    <w:rsid w:val="009D0EB8"/>
    <w:rsid w:val="009D1280"/>
    <w:rsid w:val="009D1CC7"/>
    <w:rsid w:val="009D1DF6"/>
    <w:rsid w:val="009D2058"/>
    <w:rsid w:val="009D20BC"/>
    <w:rsid w:val="009D2634"/>
    <w:rsid w:val="009D3029"/>
    <w:rsid w:val="009D39D4"/>
    <w:rsid w:val="009D3C73"/>
    <w:rsid w:val="009D4D74"/>
    <w:rsid w:val="009D52CE"/>
    <w:rsid w:val="009D5A69"/>
    <w:rsid w:val="009D5B0D"/>
    <w:rsid w:val="009D607D"/>
    <w:rsid w:val="009D6586"/>
    <w:rsid w:val="009D67A9"/>
    <w:rsid w:val="009E0195"/>
    <w:rsid w:val="009E0850"/>
    <w:rsid w:val="009E0EDD"/>
    <w:rsid w:val="009E14B8"/>
    <w:rsid w:val="009E2288"/>
    <w:rsid w:val="009E2EA0"/>
    <w:rsid w:val="009E359B"/>
    <w:rsid w:val="009E3742"/>
    <w:rsid w:val="009E4341"/>
    <w:rsid w:val="009E4A3D"/>
    <w:rsid w:val="009E60F7"/>
    <w:rsid w:val="009E60FD"/>
    <w:rsid w:val="009E650F"/>
    <w:rsid w:val="009E6596"/>
    <w:rsid w:val="009E65F7"/>
    <w:rsid w:val="009E6B53"/>
    <w:rsid w:val="009E6F58"/>
    <w:rsid w:val="009E788A"/>
    <w:rsid w:val="009E7A21"/>
    <w:rsid w:val="009F1A0B"/>
    <w:rsid w:val="009F32C2"/>
    <w:rsid w:val="009F3AAD"/>
    <w:rsid w:val="009F498A"/>
    <w:rsid w:val="009F4D94"/>
    <w:rsid w:val="009F517A"/>
    <w:rsid w:val="009F6407"/>
    <w:rsid w:val="009F64FB"/>
    <w:rsid w:val="009F6EFE"/>
    <w:rsid w:val="009F759E"/>
    <w:rsid w:val="009F78A4"/>
    <w:rsid w:val="00A00332"/>
    <w:rsid w:val="00A0186F"/>
    <w:rsid w:val="00A01A71"/>
    <w:rsid w:val="00A026F2"/>
    <w:rsid w:val="00A02A2B"/>
    <w:rsid w:val="00A0428F"/>
    <w:rsid w:val="00A04C40"/>
    <w:rsid w:val="00A05212"/>
    <w:rsid w:val="00A0523A"/>
    <w:rsid w:val="00A0523B"/>
    <w:rsid w:val="00A055A1"/>
    <w:rsid w:val="00A06807"/>
    <w:rsid w:val="00A10E6F"/>
    <w:rsid w:val="00A1174F"/>
    <w:rsid w:val="00A12501"/>
    <w:rsid w:val="00A127DD"/>
    <w:rsid w:val="00A13602"/>
    <w:rsid w:val="00A14942"/>
    <w:rsid w:val="00A1511C"/>
    <w:rsid w:val="00A154D8"/>
    <w:rsid w:val="00A156DC"/>
    <w:rsid w:val="00A157A8"/>
    <w:rsid w:val="00A17B8A"/>
    <w:rsid w:val="00A206AC"/>
    <w:rsid w:val="00A20859"/>
    <w:rsid w:val="00A20861"/>
    <w:rsid w:val="00A20D1C"/>
    <w:rsid w:val="00A20F79"/>
    <w:rsid w:val="00A21324"/>
    <w:rsid w:val="00A21C62"/>
    <w:rsid w:val="00A2270B"/>
    <w:rsid w:val="00A22728"/>
    <w:rsid w:val="00A231B2"/>
    <w:rsid w:val="00A23B16"/>
    <w:rsid w:val="00A23F95"/>
    <w:rsid w:val="00A24478"/>
    <w:rsid w:val="00A249DD"/>
    <w:rsid w:val="00A265F1"/>
    <w:rsid w:val="00A26AE0"/>
    <w:rsid w:val="00A26C21"/>
    <w:rsid w:val="00A26EBC"/>
    <w:rsid w:val="00A274A9"/>
    <w:rsid w:val="00A276F5"/>
    <w:rsid w:val="00A30A27"/>
    <w:rsid w:val="00A30FED"/>
    <w:rsid w:val="00A321CB"/>
    <w:rsid w:val="00A3237B"/>
    <w:rsid w:val="00A331E8"/>
    <w:rsid w:val="00A33343"/>
    <w:rsid w:val="00A33FEB"/>
    <w:rsid w:val="00A34BD8"/>
    <w:rsid w:val="00A35A0B"/>
    <w:rsid w:val="00A3640C"/>
    <w:rsid w:val="00A3651D"/>
    <w:rsid w:val="00A366E7"/>
    <w:rsid w:val="00A36D9D"/>
    <w:rsid w:val="00A376B6"/>
    <w:rsid w:val="00A37A06"/>
    <w:rsid w:val="00A37AC7"/>
    <w:rsid w:val="00A37C30"/>
    <w:rsid w:val="00A407AE"/>
    <w:rsid w:val="00A41004"/>
    <w:rsid w:val="00A4161A"/>
    <w:rsid w:val="00A41B0D"/>
    <w:rsid w:val="00A41B4E"/>
    <w:rsid w:val="00A41C72"/>
    <w:rsid w:val="00A4202A"/>
    <w:rsid w:val="00A43653"/>
    <w:rsid w:val="00A444CA"/>
    <w:rsid w:val="00A44C2B"/>
    <w:rsid w:val="00A45481"/>
    <w:rsid w:val="00A478A8"/>
    <w:rsid w:val="00A47A32"/>
    <w:rsid w:val="00A47B98"/>
    <w:rsid w:val="00A51782"/>
    <w:rsid w:val="00A51FE4"/>
    <w:rsid w:val="00A52305"/>
    <w:rsid w:val="00A52BDC"/>
    <w:rsid w:val="00A52CC4"/>
    <w:rsid w:val="00A52E79"/>
    <w:rsid w:val="00A530B1"/>
    <w:rsid w:val="00A53B1E"/>
    <w:rsid w:val="00A54633"/>
    <w:rsid w:val="00A54778"/>
    <w:rsid w:val="00A55036"/>
    <w:rsid w:val="00A55271"/>
    <w:rsid w:val="00A563D0"/>
    <w:rsid w:val="00A5681C"/>
    <w:rsid w:val="00A57537"/>
    <w:rsid w:val="00A57937"/>
    <w:rsid w:val="00A60C22"/>
    <w:rsid w:val="00A60C27"/>
    <w:rsid w:val="00A61418"/>
    <w:rsid w:val="00A61427"/>
    <w:rsid w:val="00A622E7"/>
    <w:rsid w:val="00A62A57"/>
    <w:rsid w:val="00A64126"/>
    <w:rsid w:val="00A643A1"/>
    <w:rsid w:val="00A65A46"/>
    <w:rsid w:val="00A663E2"/>
    <w:rsid w:val="00A66B9D"/>
    <w:rsid w:val="00A66BB7"/>
    <w:rsid w:val="00A67683"/>
    <w:rsid w:val="00A67C8A"/>
    <w:rsid w:val="00A70588"/>
    <w:rsid w:val="00A70772"/>
    <w:rsid w:val="00A70C6C"/>
    <w:rsid w:val="00A70F70"/>
    <w:rsid w:val="00A70FF7"/>
    <w:rsid w:val="00A7243C"/>
    <w:rsid w:val="00A72625"/>
    <w:rsid w:val="00A72ADC"/>
    <w:rsid w:val="00A72DD4"/>
    <w:rsid w:val="00A734C7"/>
    <w:rsid w:val="00A735AA"/>
    <w:rsid w:val="00A73920"/>
    <w:rsid w:val="00A74806"/>
    <w:rsid w:val="00A74B02"/>
    <w:rsid w:val="00A75C3A"/>
    <w:rsid w:val="00A769AE"/>
    <w:rsid w:val="00A7711F"/>
    <w:rsid w:val="00A7725C"/>
    <w:rsid w:val="00A80600"/>
    <w:rsid w:val="00A80BCD"/>
    <w:rsid w:val="00A82F5C"/>
    <w:rsid w:val="00A82F7F"/>
    <w:rsid w:val="00A8368A"/>
    <w:rsid w:val="00A8385A"/>
    <w:rsid w:val="00A84545"/>
    <w:rsid w:val="00A8493B"/>
    <w:rsid w:val="00A864A6"/>
    <w:rsid w:val="00A866AF"/>
    <w:rsid w:val="00A87257"/>
    <w:rsid w:val="00A900E4"/>
    <w:rsid w:val="00A90B3F"/>
    <w:rsid w:val="00A91237"/>
    <w:rsid w:val="00A916FF"/>
    <w:rsid w:val="00A919F5"/>
    <w:rsid w:val="00A927E3"/>
    <w:rsid w:val="00A92F2C"/>
    <w:rsid w:val="00A9384A"/>
    <w:rsid w:val="00A93E4E"/>
    <w:rsid w:val="00A94303"/>
    <w:rsid w:val="00A952AC"/>
    <w:rsid w:val="00A953E7"/>
    <w:rsid w:val="00A95B0F"/>
    <w:rsid w:val="00A95CDF"/>
    <w:rsid w:val="00A95FC9"/>
    <w:rsid w:val="00A9641D"/>
    <w:rsid w:val="00A96CC5"/>
    <w:rsid w:val="00A97579"/>
    <w:rsid w:val="00A977E4"/>
    <w:rsid w:val="00AA04EB"/>
    <w:rsid w:val="00AA069E"/>
    <w:rsid w:val="00AA0903"/>
    <w:rsid w:val="00AA0B27"/>
    <w:rsid w:val="00AA1506"/>
    <w:rsid w:val="00AA19B2"/>
    <w:rsid w:val="00AA207A"/>
    <w:rsid w:val="00AA2CF5"/>
    <w:rsid w:val="00AA2D34"/>
    <w:rsid w:val="00AA3335"/>
    <w:rsid w:val="00AA36D0"/>
    <w:rsid w:val="00AA3C93"/>
    <w:rsid w:val="00AA42B0"/>
    <w:rsid w:val="00AA4520"/>
    <w:rsid w:val="00AA46ED"/>
    <w:rsid w:val="00AA48EF"/>
    <w:rsid w:val="00AA5EB0"/>
    <w:rsid w:val="00AA603E"/>
    <w:rsid w:val="00AA6661"/>
    <w:rsid w:val="00AA6A5E"/>
    <w:rsid w:val="00AA6C11"/>
    <w:rsid w:val="00AB1EB0"/>
    <w:rsid w:val="00AB1F9F"/>
    <w:rsid w:val="00AB2413"/>
    <w:rsid w:val="00AB2FB0"/>
    <w:rsid w:val="00AB3214"/>
    <w:rsid w:val="00AB35AF"/>
    <w:rsid w:val="00AB3E77"/>
    <w:rsid w:val="00AB478A"/>
    <w:rsid w:val="00AB490C"/>
    <w:rsid w:val="00AB4E4A"/>
    <w:rsid w:val="00AB5430"/>
    <w:rsid w:val="00AB5469"/>
    <w:rsid w:val="00AB5988"/>
    <w:rsid w:val="00AB5AB0"/>
    <w:rsid w:val="00AB5EC8"/>
    <w:rsid w:val="00AB62BC"/>
    <w:rsid w:val="00AB687E"/>
    <w:rsid w:val="00AB6A8D"/>
    <w:rsid w:val="00AB7499"/>
    <w:rsid w:val="00AB7FF7"/>
    <w:rsid w:val="00AC035D"/>
    <w:rsid w:val="00AC0A5E"/>
    <w:rsid w:val="00AC1214"/>
    <w:rsid w:val="00AC141C"/>
    <w:rsid w:val="00AC15F3"/>
    <w:rsid w:val="00AC1D4D"/>
    <w:rsid w:val="00AC28E7"/>
    <w:rsid w:val="00AC3071"/>
    <w:rsid w:val="00AC584D"/>
    <w:rsid w:val="00AC5C48"/>
    <w:rsid w:val="00AC66E7"/>
    <w:rsid w:val="00AC6F22"/>
    <w:rsid w:val="00AC7F20"/>
    <w:rsid w:val="00AD06E5"/>
    <w:rsid w:val="00AD0AE3"/>
    <w:rsid w:val="00AD0C0F"/>
    <w:rsid w:val="00AD13B9"/>
    <w:rsid w:val="00AD1489"/>
    <w:rsid w:val="00AD26A3"/>
    <w:rsid w:val="00AD2C51"/>
    <w:rsid w:val="00AD2D54"/>
    <w:rsid w:val="00AD3B86"/>
    <w:rsid w:val="00AD3BD6"/>
    <w:rsid w:val="00AD41B6"/>
    <w:rsid w:val="00AD5204"/>
    <w:rsid w:val="00AD5384"/>
    <w:rsid w:val="00AD5423"/>
    <w:rsid w:val="00AD5467"/>
    <w:rsid w:val="00AD59BA"/>
    <w:rsid w:val="00AD5BB8"/>
    <w:rsid w:val="00AD624E"/>
    <w:rsid w:val="00AD67D3"/>
    <w:rsid w:val="00AD79EF"/>
    <w:rsid w:val="00AE0154"/>
    <w:rsid w:val="00AE0B63"/>
    <w:rsid w:val="00AE0C05"/>
    <w:rsid w:val="00AE205A"/>
    <w:rsid w:val="00AE23C4"/>
    <w:rsid w:val="00AE265D"/>
    <w:rsid w:val="00AE2A7F"/>
    <w:rsid w:val="00AE2BCA"/>
    <w:rsid w:val="00AE2E79"/>
    <w:rsid w:val="00AE2FF2"/>
    <w:rsid w:val="00AE4099"/>
    <w:rsid w:val="00AE4A72"/>
    <w:rsid w:val="00AE4E24"/>
    <w:rsid w:val="00AE4E65"/>
    <w:rsid w:val="00AE4EBA"/>
    <w:rsid w:val="00AE5CD7"/>
    <w:rsid w:val="00AE6F97"/>
    <w:rsid w:val="00AE79EA"/>
    <w:rsid w:val="00AF074B"/>
    <w:rsid w:val="00AF086E"/>
    <w:rsid w:val="00AF0DD4"/>
    <w:rsid w:val="00AF12B0"/>
    <w:rsid w:val="00AF1E6C"/>
    <w:rsid w:val="00AF2216"/>
    <w:rsid w:val="00AF223F"/>
    <w:rsid w:val="00AF26EB"/>
    <w:rsid w:val="00AF2AFC"/>
    <w:rsid w:val="00AF3366"/>
    <w:rsid w:val="00AF3460"/>
    <w:rsid w:val="00AF3ABA"/>
    <w:rsid w:val="00AF3F30"/>
    <w:rsid w:val="00AF46D8"/>
    <w:rsid w:val="00AF48DF"/>
    <w:rsid w:val="00AF4C0D"/>
    <w:rsid w:val="00AF5285"/>
    <w:rsid w:val="00AF5556"/>
    <w:rsid w:val="00AF5B2E"/>
    <w:rsid w:val="00AF5C30"/>
    <w:rsid w:val="00AF6B57"/>
    <w:rsid w:val="00AF6C40"/>
    <w:rsid w:val="00AF72D0"/>
    <w:rsid w:val="00AF7543"/>
    <w:rsid w:val="00B00368"/>
    <w:rsid w:val="00B01C33"/>
    <w:rsid w:val="00B01F17"/>
    <w:rsid w:val="00B02127"/>
    <w:rsid w:val="00B02A01"/>
    <w:rsid w:val="00B02CF6"/>
    <w:rsid w:val="00B02FCE"/>
    <w:rsid w:val="00B03393"/>
    <w:rsid w:val="00B03971"/>
    <w:rsid w:val="00B03B5E"/>
    <w:rsid w:val="00B03E3F"/>
    <w:rsid w:val="00B05047"/>
    <w:rsid w:val="00B050DE"/>
    <w:rsid w:val="00B056B0"/>
    <w:rsid w:val="00B06660"/>
    <w:rsid w:val="00B07766"/>
    <w:rsid w:val="00B079F6"/>
    <w:rsid w:val="00B10614"/>
    <w:rsid w:val="00B116D9"/>
    <w:rsid w:val="00B11928"/>
    <w:rsid w:val="00B11D44"/>
    <w:rsid w:val="00B1248E"/>
    <w:rsid w:val="00B12939"/>
    <w:rsid w:val="00B13A11"/>
    <w:rsid w:val="00B13CB3"/>
    <w:rsid w:val="00B14537"/>
    <w:rsid w:val="00B150A0"/>
    <w:rsid w:val="00B15BF7"/>
    <w:rsid w:val="00B15F29"/>
    <w:rsid w:val="00B1617C"/>
    <w:rsid w:val="00B16AEF"/>
    <w:rsid w:val="00B17A1E"/>
    <w:rsid w:val="00B20388"/>
    <w:rsid w:val="00B20699"/>
    <w:rsid w:val="00B20865"/>
    <w:rsid w:val="00B21549"/>
    <w:rsid w:val="00B2163D"/>
    <w:rsid w:val="00B21A52"/>
    <w:rsid w:val="00B21B0B"/>
    <w:rsid w:val="00B22271"/>
    <w:rsid w:val="00B2273A"/>
    <w:rsid w:val="00B230C7"/>
    <w:rsid w:val="00B2365C"/>
    <w:rsid w:val="00B237CA"/>
    <w:rsid w:val="00B2385B"/>
    <w:rsid w:val="00B23A1A"/>
    <w:rsid w:val="00B2415A"/>
    <w:rsid w:val="00B246C2"/>
    <w:rsid w:val="00B2504E"/>
    <w:rsid w:val="00B255BA"/>
    <w:rsid w:val="00B25F6A"/>
    <w:rsid w:val="00B26724"/>
    <w:rsid w:val="00B2745A"/>
    <w:rsid w:val="00B275D1"/>
    <w:rsid w:val="00B27E56"/>
    <w:rsid w:val="00B27F5A"/>
    <w:rsid w:val="00B30270"/>
    <w:rsid w:val="00B303D2"/>
    <w:rsid w:val="00B30661"/>
    <w:rsid w:val="00B3075C"/>
    <w:rsid w:val="00B30AAE"/>
    <w:rsid w:val="00B312F8"/>
    <w:rsid w:val="00B32D5C"/>
    <w:rsid w:val="00B33522"/>
    <w:rsid w:val="00B33578"/>
    <w:rsid w:val="00B33836"/>
    <w:rsid w:val="00B338FA"/>
    <w:rsid w:val="00B33920"/>
    <w:rsid w:val="00B34345"/>
    <w:rsid w:val="00B34A20"/>
    <w:rsid w:val="00B34D9A"/>
    <w:rsid w:val="00B354F9"/>
    <w:rsid w:val="00B35D60"/>
    <w:rsid w:val="00B35D78"/>
    <w:rsid w:val="00B35E0E"/>
    <w:rsid w:val="00B377BD"/>
    <w:rsid w:val="00B40693"/>
    <w:rsid w:val="00B40DB6"/>
    <w:rsid w:val="00B41753"/>
    <w:rsid w:val="00B41D39"/>
    <w:rsid w:val="00B425E7"/>
    <w:rsid w:val="00B4375E"/>
    <w:rsid w:val="00B4453A"/>
    <w:rsid w:val="00B446B8"/>
    <w:rsid w:val="00B44992"/>
    <w:rsid w:val="00B44A49"/>
    <w:rsid w:val="00B4513A"/>
    <w:rsid w:val="00B452C2"/>
    <w:rsid w:val="00B455E7"/>
    <w:rsid w:val="00B47555"/>
    <w:rsid w:val="00B4785C"/>
    <w:rsid w:val="00B50117"/>
    <w:rsid w:val="00B50341"/>
    <w:rsid w:val="00B5109D"/>
    <w:rsid w:val="00B515FF"/>
    <w:rsid w:val="00B51C22"/>
    <w:rsid w:val="00B51F5C"/>
    <w:rsid w:val="00B52E2A"/>
    <w:rsid w:val="00B52FA8"/>
    <w:rsid w:val="00B5357E"/>
    <w:rsid w:val="00B53609"/>
    <w:rsid w:val="00B53D2A"/>
    <w:rsid w:val="00B53F13"/>
    <w:rsid w:val="00B542F5"/>
    <w:rsid w:val="00B5439D"/>
    <w:rsid w:val="00B5539C"/>
    <w:rsid w:val="00B55DC9"/>
    <w:rsid w:val="00B5603A"/>
    <w:rsid w:val="00B5720E"/>
    <w:rsid w:val="00B60192"/>
    <w:rsid w:val="00B6123D"/>
    <w:rsid w:val="00B61986"/>
    <w:rsid w:val="00B61D81"/>
    <w:rsid w:val="00B620BC"/>
    <w:rsid w:val="00B6236D"/>
    <w:rsid w:val="00B627FC"/>
    <w:rsid w:val="00B62DAF"/>
    <w:rsid w:val="00B63476"/>
    <w:rsid w:val="00B644EA"/>
    <w:rsid w:val="00B647CB"/>
    <w:rsid w:val="00B64F13"/>
    <w:rsid w:val="00B6586A"/>
    <w:rsid w:val="00B65C5A"/>
    <w:rsid w:val="00B661AF"/>
    <w:rsid w:val="00B669A4"/>
    <w:rsid w:val="00B66C5A"/>
    <w:rsid w:val="00B67459"/>
    <w:rsid w:val="00B67CBC"/>
    <w:rsid w:val="00B704F0"/>
    <w:rsid w:val="00B70738"/>
    <w:rsid w:val="00B708F8"/>
    <w:rsid w:val="00B715FC"/>
    <w:rsid w:val="00B71C5E"/>
    <w:rsid w:val="00B71D39"/>
    <w:rsid w:val="00B726ED"/>
    <w:rsid w:val="00B72840"/>
    <w:rsid w:val="00B73499"/>
    <w:rsid w:val="00B7508C"/>
    <w:rsid w:val="00B75430"/>
    <w:rsid w:val="00B759EB"/>
    <w:rsid w:val="00B75B5A"/>
    <w:rsid w:val="00B767B1"/>
    <w:rsid w:val="00B76EF7"/>
    <w:rsid w:val="00B776C1"/>
    <w:rsid w:val="00B77F23"/>
    <w:rsid w:val="00B80EB4"/>
    <w:rsid w:val="00B8115D"/>
    <w:rsid w:val="00B81F48"/>
    <w:rsid w:val="00B82037"/>
    <w:rsid w:val="00B824E7"/>
    <w:rsid w:val="00B82D24"/>
    <w:rsid w:val="00B82E53"/>
    <w:rsid w:val="00B835F6"/>
    <w:rsid w:val="00B8381F"/>
    <w:rsid w:val="00B83FE4"/>
    <w:rsid w:val="00B851F9"/>
    <w:rsid w:val="00B8526B"/>
    <w:rsid w:val="00B85540"/>
    <w:rsid w:val="00B86971"/>
    <w:rsid w:val="00B869DA"/>
    <w:rsid w:val="00B86AE5"/>
    <w:rsid w:val="00B86B28"/>
    <w:rsid w:val="00B86F6B"/>
    <w:rsid w:val="00B87732"/>
    <w:rsid w:val="00B879AA"/>
    <w:rsid w:val="00B87C66"/>
    <w:rsid w:val="00B87D03"/>
    <w:rsid w:val="00B87D31"/>
    <w:rsid w:val="00B9079D"/>
    <w:rsid w:val="00B9098A"/>
    <w:rsid w:val="00B90BC4"/>
    <w:rsid w:val="00B91ADD"/>
    <w:rsid w:val="00B9227B"/>
    <w:rsid w:val="00B92726"/>
    <w:rsid w:val="00B92BB8"/>
    <w:rsid w:val="00B92C3F"/>
    <w:rsid w:val="00B954D4"/>
    <w:rsid w:val="00B95FCB"/>
    <w:rsid w:val="00B9700B"/>
    <w:rsid w:val="00B970CA"/>
    <w:rsid w:val="00B97601"/>
    <w:rsid w:val="00BA06A7"/>
    <w:rsid w:val="00BA14A1"/>
    <w:rsid w:val="00BA16A5"/>
    <w:rsid w:val="00BA2B23"/>
    <w:rsid w:val="00BA3B88"/>
    <w:rsid w:val="00BA45FB"/>
    <w:rsid w:val="00BA4DF5"/>
    <w:rsid w:val="00BA62FB"/>
    <w:rsid w:val="00BA6BF9"/>
    <w:rsid w:val="00BA6C68"/>
    <w:rsid w:val="00BA7795"/>
    <w:rsid w:val="00BA7AD9"/>
    <w:rsid w:val="00BB0474"/>
    <w:rsid w:val="00BB08E4"/>
    <w:rsid w:val="00BB103F"/>
    <w:rsid w:val="00BB1457"/>
    <w:rsid w:val="00BB2787"/>
    <w:rsid w:val="00BB29B2"/>
    <w:rsid w:val="00BB3943"/>
    <w:rsid w:val="00BB4696"/>
    <w:rsid w:val="00BB474A"/>
    <w:rsid w:val="00BB4805"/>
    <w:rsid w:val="00BB4949"/>
    <w:rsid w:val="00BB567F"/>
    <w:rsid w:val="00BB5C26"/>
    <w:rsid w:val="00BB5E89"/>
    <w:rsid w:val="00BB6523"/>
    <w:rsid w:val="00BB6C25"/>
    <w:rsid w:val="00BB7CED"/>
    <w:rsid w:val="00BC156C"/>
    <w:rsid w:val="00BC1E02"/>
    <w:rsid w:val="00BC2F2F"/>
    <w:rsid w:val="00BC3D7E"/>
    <w:rsid w:val="00BC4C77"/>
    <w:rsid w:val="00BC4DAE"/>
    <w:rsid w:val="00BC57A7"/>
    <w:rsid w:val="00BC5B1D"/>
    <w:rsid w:val="00BC6088"/>
    <w:rsid w:val="00BC61DB"/>
    <w:rsid w:val="00BC6453"/>
    <w:rsid w:val="00BC67B9"/>
    <w:rsid w:val="00BC6999"/>
    <w:rsid w:val="00BC69BE"/>
    <w:rsid w:val="00BC7548"/>
    <w:rsid w:val="00BC779A"/>
    <w:rsid w:val="00BC7A49"/>
    <w:rsid w:val="00BC7DD7"/>
    <w:rsid w:val="00BD023F"/>
    <w:rsid w:val="00BD080D"/>
    <w:rsid w:val="00BD170E"/>
    <w:rsid w:val="00BD19CF"/>
    <w:rsid w:val="00BD1CD4"/>
    <w:rsid w:val="00BD37E0"/>
    <w:rsid w:val="00BD3937"/>
    <w:rsid w:val="00BD39BB"/>
    <w:rsid w:val="00BD3ACD"/>
    <w:rsid w:val="00BD44BA"/>
    <w:rsid w:val="00BD5CA0"/>
    <w:rsid w:val="00BD603A"/>
    <w:rsid w:val="00BD652D"/>
    <w:rsid w:val="00BD6F42"/>
    <w:rsid w:val="00BD7FA2"/>
    <w:rsid w:val="00BE032B"/>
    <w:rsid w:val="00BE0ADD"/>
    <w:rsid w:val="00BE0BDE"/>
    <w:rsid w:val="00BE0E61"/>
    <w:rsid w:val="00BE15EE"/>
    <w:rsid w:val="00BE1B6A"/>
    <w:rsid w:val="00BE2757"/>
    <w:rsid w:val="00BE2AED"/>
    <w:rsid w:val="00BE3202"/>
    <w:rsid w:val="00BE36EE"/>
    <w:rsid w:val="00BE3704"/>
    <w:rsid w:val="00BE3BEE"/>
    <w:rsid w:val="00BE4193"/>
    <w:rsid w:val="00BE5008"/>
    <w:rsid w:val="00BE52C8"/>
    <w:rsid w:val="00BE5A46"/>
    <w:rsid w:val="00BE5A66"/>
    <w:rsid w:val="00BE6255"/>
    <w:rsid w:val="00BE64D8"/>
    <w:rsid w:val="00BE65C0"/>
    <w:rsid w:val="00BE6A6E"/>
    <w:rsid w:val="00BE6EC4"/>
    <w:rsid w:val="00BE78CA"/>
    <w:rsid w:val="00BF1274"/>
    <w:rsid w:val="00BF148F"/>
    <w:rsid w:val="00BF14B2"/>
    <w:rsid w:val="00BF1AC4"/>
    <w:rsid w:val="00BF1C26"/>
    <w:rsid w:val="00BF2C4A"/>
    <w:rsid w:val="00BF3620"/>
    <w:rsid w:val="00BF368C"/>
    <w:rsid w:val="00BF53FA"/>
    <w:rsid w:val="00BF55B2"/>
    <w:rsid w:val="00BF57BF"/>
    <w:rsid w:val="00BF591A"/>
    <w:rsid w:val="00BF6161"/>
    <w:rsid w:val="00BF71F6"/>
    <w:rsid w:val="00BF7CC4"/>
    <w:rsid w:val="00C000D1"/>
    <w:rsid w:val="00C005BE"/>
    <w:rsid w:val="00C00DD5"/>
    <w:rsid w:val="00C01044"/>
    <w:rsid w:val="00C02144"/>
    <w:rsid w:val="00C02586"/>
    <w:rsid w:val="00C02B6F"/>
    <w:rsid w:val="00C02BC4"/>
    <w:rsid w:val="00C0346B"/>
    <w:rsid w:val="00C04722"/>
    <w:rsid w:val="00C05A3F"/>
    <w:rsid w:val="00C05A7E"/>
    <w:rsid w:val="00C06EAB"/>
    <w:rsid w:val="00C07041"/>
    <w:rsid w:val="00C0704C"/>
    <w:rsid w:val="00C07E39"/>
    <w:rsid w:val="00C07F6B"/>
    <w:rsid w:val="00C07FFC"/>
    <w:rsid w:val="00C10574"/>
    <w:rsid w:val="00C10BAA"/>
    <w:rsid w:val="00C10E66"/>
    <w:rsid w:val="00C11680"/>
    <w:rsid w:val="00C1170C"/>
    <w:rsid w:val="00C11E8E"/>
    <w:rsid w:val="00C12A7E"/>
    <w:rsid w:val="00C12B69"/>
    <w:rsid w:val="00C1586F"/>
    <w:rsid w:val="00C16065"/>
    <w:rsid w:val="00C160FD"/>
    <w:rsid w:val="00C1703C"/>
    <w:rsid w:val="00C20208"/>
    <w:rsid w:val="00C20E11"/>
    <w:rsid w:val="00C21057"/>
    <w:rsid w:val="00C21FDB"/>
    <w:rsid w:val="00C24C31"/>
    <w:rsid w:val="00C251CF"/>
    <w:rsid w:val="00C264F1"/>
    <w:rsid w:val="00C278B5"/>
    <w:rsid w:val="00C278BB"/>
    <w:rsid w:val="00C3027B"/>
    <w:rsid w:val="00C3044C"/>
    <w:rsid w:val="00C30F8E"/>
    <w:rsid w:val="00C3180F"/>
    <w:rsid w:val="00C32671"/>
    <w:rsid w:val="00C32F4B"/>
    <w:rsid w:val="00C32F60"/>
    <w:rsid w:val="00C33A1B"/>
    <w:rsid w:val="00C34078"/>
    <w:rsid w:val="00C34BDA"/>
    <w:rsid w:val="00C34EEC"/>
    <w:rsid w:val="00C35CA6"/>
    <w:rsid w:val="00C3605A"/>
    <w:rsid w:val="00C36DDF"/>
    <w:rsid w:val="00C37019"/>
    <w:rsid w:val="00C377C8"/>
    <w:rsid w:val="00C37DB0"/>
    <w:rsid w:val="00C40035"/>
    <w:rsid w:val="00C40B93"/>
    <w:rsid w:val="00C41666"/>
    <w:rsid w:val="00C419D6"/>
    <w:rsid w:val="00C42516"/>
    <w:rsid w:val="00C42BA9"/>
    <w:rsid w:val="00C4395A"/>
    <w:rsid w:val="00C4534B"/>
    <w:rsid w:val="00C45888"/>
    <w:rsid w:val="00C45A79"/>
    <w:rsid w:val="00C47900"/>
    <w:rsid w:val="00C51339"/>
    <w:rsid w:val="00C5177F"/>
    <w:rsid w:val="00C51885"/>
    <w:rsid w:val="00C51ACC"/>
    <w:rsid w:val="00C555AA"/>
    <w:rsid w:val="00C55DB6"/>
    <w:rsid w:val="00C56624"/>
    <w:rsid w:val="00C571B8"/>
    <w:rsid w:val="00C57D87"/>
    <w:rsid w:val="00C60F91"/>
    <w:rsid w:val="00C61840"/>
    <w:rsid w:val="00C62E6E"/>
    <w:rsid w:val="00C6324E"/>
    <w:rsid w:val="00C63D55"/>
    <w:rsid w:val="00C65FF4"/>
    <w:rsid w:val="00C66108"/>
    <w:rsid w:val="00C667F1"/>
    <w:rsid w:val="00C66D19"/>
    <w:rsid w:val="00C66D29"/>
    <w:rsid w:val="00C66D31"/>
    <w:rsid w:val="00C66F79"/>
    <w:rsid w:val="00C6730F"/>
    <w:rsid w:val="00C67DDD"/>
    <w:rsid w:val="00C7005A"/>
    <w:rsid w:val="00C70918"/>
    <w:rsid w:val="00C71775"/>
    <w:rsid w:val="00C7209B"/>
    <w:rsid w:val="00C7212E"/>
    <w:rsid w:val="00C72A3C"/>
    <w:rsid w:val="00C73498"/>
    <w:rsid w:val="00C75C80"/>
    <w:rsid w:val="00C76186"/>
    <w:rsid w:val="00C7632D"/>
    <w:rsid w:val="00C7641F"/>
    <w:rsid w:val="00C76569"/>
    <w:rsid w:val="00C7684E"/>
    <w:rsid w:val="00C76BC0"/>
    <w:rsid w:val="00C76DB3"/>
    <w:rsid w:val="00C76E1D"/>
    <w:rsid w:val="00C777FD"/>
    <w:rsid w:val="00C77A31"/>
    <w:rsid w:val="00C77AE2"/>
    <w:rsid w:val="00C77B7B"/>
    <w:rsid w:val="00C82002"/>
    <w:rsid w:val="00C822FE"/>
    <w:rsid w:val="00C82B4E"/>
    <w:rsid w:val="00C82BCF"/>
    <w:rsid w:val="00C82FB6"/>
    <w:rsid w:val="00C839F8"/>
    <w:rsid w:val="00C83AAE"/>
    <w:rsid w:val="00C83CCA"/>
    <w:rsid w:val="00C842F3"/>
    <w:rsid w:val="00C84768"/>
    <w:rsid w:val="00C8554D"/>
    <w:rsid w:val="00C859D6"/>
    <w:rsid w:val="00C85D6A"/>
    <w:rsid w:val="00C862E6"/>
    <w:rsid w:val="00C86A5C"/>
    <w:rsid w:val="00C900A9"/>
    <w:rsid w:val="00C90B27"/>
    <w:rsid w:val="00C91211"/>
    <w:rsid w:val="00C92127"/>
    <w:rsid w:val="00C92A23"/>
    <w:rsid w:val="00C92D01"/>
    <w:rsid w:val="00C9399D"/>
    <w:rsid w:val="00C94594"/>
    <w:rsid w:val="00C95166"/>
    <w:rsid w:val="00C95A7B"/>
    <w:rsid w:val="00C96BA7"/>
    <w:rsid w:val="00C97E53"/>
    <w:rsid w:val="00CA01DD"/>
    <w:rsid w:val="00CA0478"/>
    <w:rsid w:val="00CA0624"/>
    <w:rsid w:val="00CA0C30"/>
    <w:rsid w:val="00CA105A"/>
    <w:rsid w:val="00CA106F"/>
    <w:rsid w:val="00CA1795"/>
    <w:rsid w:val="00CA17E6"/>
    <w:rsid w:val="00CA1CA1"/>
    <w:rsid w:val="00CA25AF"/>
    <w:rsid w:val="00CA262F"/>
    <w:rsid w:val="00CA335B"/>
    <w:rsid w:val="00CA4CB4"/>
    <w:rsid w:val="00CA4F3A"/>
    <w:rsid w:val="00CA4FF9"/>
    <w:rsid w:val="00CA5A43"/>
    <w:rsid w:val="00CA5D99"/>
    <w:rsid w:val="00CA5EC8"/>
    <w:rsid w:val="00CA6376"/>
    <w:rsid w:val="00CA650A"/>
    <w:rsid w:val="00CA66D5"/>
    <w:rsid w:val="00CA67C4"/>
    <w:rsid w:val="00CA6E90"/>
    <w:rsid w:val="00CA74CD"/>
    <w:rsid w:val="00CA7769"/>
    <w:rsid w:val="00CA7D6B"/>
    <w:rsid w:val="00CB0955"/>
    <w:rsid w:val="00CB0F1E"/>
    <w:rsid w:val="00CB0F36"/>
    <w:rsid w:val="00CB10B3"/>
    <w:rsid w:val="00CB110B"/>
    <w:rsid w:val="00CB16B0"/>
    <w:rsid w:val="00CB2ED7"/>
    <w:rsid w:val="00CB32AE"/>
    <w:rsid w:val="00CB39E3"/>
    <w:rsid w:val="00CB484B"/>
    <w:rsid w:val="00CB4F1D"/>
    <w:rsid w:val="00CB5308"/>
    <w:rsid w:val="00CB5D97"/>
    <w:rsid w:val="00CB5FA2"/>
    <w:rsid w:val="00CB669D"/>
    <w:rsid w:val="00CB7BAC"/>
    <w:rsid w:val="00CB7E7C"/>
    <w:rsid w:val="00CC11F8"/>
    <w:rsid w:val="00CC230C"/>
    <w:rsid w:val="00CC250E"/>
    <w:rsid w:val="00CC2517"/>
    <w:rsid w:val="00CC2F22"/>
    <w:rsid w:val="00CC3342"/>
    <w:rsid w:val="00CC3F76"/>
    <w:rsid w:val="00CC4F12"/>
    <w:rsid w:val="00CC4FE9"/>
    <w:rsid w:val="00CC62C5"/>
    <w:rsid w:val="00CC6401"/>
    <w:rsid w:val="00CC6911"/>
    <w:rsid w:val="00CD0077"/>
    <w:rsid w:val="00CD01C4"/>
    <w:rsid w:val="00CD02F4"/>
    <w:rsid w:val="00CD0AEA"/>
    <w:rsid w:val="00CD0C48"/>
    <w:rsid w:val="00CD101D"/>
    <w:rsid w:val="00CD14CC"/>
    <w:rsid w:val="00CD180A"/>
    <w:rsid w:val="00CD22CD"/>
    <w:rsid w:val="00CD22F0"/>
    <w:rsid w:val="00CD26E6"/>
    <w:rsid w:val="00CD28D2"/>
    <w:rsid w:val="00CD2D1E"/>
    <w:rsid w:val="00CD2F3C"/>
    <w:rsid w:val="00CD328E"/>
    <w:rsid w:val="00CD39E1"/>
    <w:rsid w:val="00CD424D"/>
    <w:rsid w:val="00CD48D9"/>
    <w:rsid w:val="00CD52CF"/>
    <w:rsid w:val="00CD550C"/>
    <w:rsid w:val="00CD637D"/>
    <w:rsid w:val="00CD65AD"/>
    <w:rsid w:val="00CD6A4B"/>
    <w:rsid w:val="00CD6C06"/>
    <w:rsid w:val="00CD6E2F"/>
    <w:rsid w:val="00CD718B"/>
    <w:rsid w:val="00CD7517"/>
    <w:rsid w:val="00CD76BF"/>
    <w:rsid w:val="00CD7A6B"/>
    <w:rsid w:val="00CD7C2E"/>
    <w:rsid w:val="00CE01C8"/>
    <w:rsid w:val="00CE0CCB"/>
    <w:rsid w:val="00CE0F7E"/>
    <w:rsid w:val="00CE113B"/>
    <w:rsid w:val="00CE214C"/>
    <w:rsid w:val="00CE32AE"/>
    <w:rsid w:val="00CE3D18"/>
    <w:rsid w:val="00CE4D59"/>
    <w:rsid w:val="00CE4E6A"/>
    <w:rsid w:val="00CE50C4"/>
    <w:rsid w:val="00CE5AA4"/>
    <w:rsid w:val="00CE610E"/>
    <w:rsid w:val="00CE6AA3"/>
    <w:rsid w:val="00CE702F"/>
    <w:rsid w:val="00CE729F"/>
    <w:rsid w:val="00CE7644"/>
    <w:rsid w:val="00CE79FE"/>
    <w:rsid w:val="00CE7B55"/>
    <w:rsid w:val="00CE7DB0"/>
    <w:rsid w:val="00CF023B"/>
    <w:rsid w:val="00CF05FD"/>
    <w:rsid w:val="00CF0B6F"/>
    <w:rsid w:val="00CF0B9D"/>
    <w:rsid w:val="00CF0D23"/>
    <w:rsid w:val="00CF0EFE"/>
    <w:rsid w:val="00CF1108"/>
    <w:rsid w:val="00CF1CA1"/>
    <w:rsid w:val="00CF26F2"/>
    <w:rsid w:val="00CF27F6"/>
    <w:rsid w:val="00CF314F"/>
    <w:rsid w:val="00CF3882"/>
    <w:rsid w:val="00CF4099"/>
    <w:rsid w:val="00CF4B5A"/>
    <w:rsid w:val="00CF57B5"/>
    <w:rsid w:val="00CF6055"/>
    <w:rsid w:val="00CF7188"/>
    <w:rsid w:val="00CF71CA"/>
    <w:rsid w:val="00D0093E"/>
    <w:rsid w:val="00D01A23"/>
    <w:rsid w:val="00D026F2"/>
    <w:rsid w:val="00D02B47"/>
    <w:rsid w:val="00D03069"/>
    <w:rsid w:val="00D03D8B"/>
    <w:rsid w:val="00D05219"/>
    <w:rsid w:val="00D0574A"/>
    <w:rsid w:val="00D05901"/>
    <w:rsid w:val="00D0688E"/>
    <w:rsid w:val="00D06F33"/>
    <w:rsid w:val="00D07CA1"/>
    <w:rsid w:val="00D1230A"/>
    <w:rsid w:val="00D1234B"/>
    <w:rsid w:val="00D1467E"/>
    <w:rsid w:val="00D14944"/>
    <w:rsid w:val="00D15447"/>
    <w:rsid w:val="00D15467"/>
    <w:rsid w:val="00D163AA"/>
    <w:rsid w:val="00D166D4"/>
    <w:rsid w:val="00D16E75"/>
    <w:rsid w:val="00D1778B"/>
    <w:rsid w:val="00D20386"/>
    <w:rsid w:val="00D20648"/>
    <w:rsid w:val="00D21379"/>
    <w:rsid w:val="00D2216A"/>
    <w:rsid w:val="00D22553"/>
    <w:rsid w:val="00D22A75"/>
    <w:rsid w:val="00D23B9C"/>
    <w:rsid w:val="00D24008"/>
    <w:rsid w:val="00D24E04"/>
    <w:rsid w:val="00D25640"/>
    <w:rsid w:val="00D25C79"/>
    <w:rsid w:val="00D261BA"/>
    <w:rsid w:val="00D263E3"/>
    <w:rsid w:val="00D265EF"/>
    <w:rsid w:val="00D266A5"/>
    <w:rsid w:val="00D26F90"/>
    <w:rsid w:val="00D27216"/>
    <w:rsid w:val="00D276C9"/>
    <w:rsid w:val="00D277CC"/>
    <w:rsid w:val="00D27BB8"/>
    <w:rsid w:val="00D27F02"/>
    <w:rsid w:val="00D30945"/>
    <w:rsid w:val="00D30AE3"/>
    <w:rsid w:val="00D30E58"/>
    <w:rsid w:val="00D3157D"/>
    <w:rsid w:val="00D319F5"/>
    <w:rsid w:val="00D324D2"/>
    <w:rsid w:val="00D3280F"/>
    <w:rsid w:val="00D32AFD"/>
    <w:rsid w:val="00D335C5"/>
    <w:rsid w:val="00D33DF3"/>
    <w:rsid w:val="00D34689"/>
    <w:rsid w:val="00D35E21"/>
    <w:rsid w:val="00D36492"/>
    <w:rsid w:val="00D3692A"/>
    <w:rsid w:val="00D412DB"/>
    <w:rsid w:val="00D41D7B"/>
    <w:rsid w:val="00D42541"/>
    <w:rsid w:val="00D425BB"/>
    <w:rsid w:val="00D42C1E"/>
    <w:rsid w:val="00D42C61"/>
    <w:rsid w:val="00D42E24"/>
    <w:rsid w:val="00D43E12"/>
    <w:rsid w:val="00D448A9"/>
    <w:rsid w:val="00D4511E"/>
    <w:rsid w:val="00D454CB"/>
    <w:rsid w:val="00D46B71"/>
    <w:rsid w:val="00D46B97"/>
    <w:rsid w:val="00D471FF"/>
    <w:rsid w:val="00D47810"/>
    <w:rsid w:val="00D478AA"/>
    <w:rsid w:val="00D478EF"/>
    <w:rsid w:val="00D51281"/>
    <w:rsid w:val="00D51700"/>
    <w:rsid w:val="00D522C9"/>
    <w:rsid w:val="00D525B5"/>
    <w:rsid w:val="00D53164"/>
    <w:rsid w:val="00D53267"/>
    <w:rsid w:val="00D54B30"/>
    <w:rsid w:val="00D55894"/>
    <w:rsid w:val="00D5593E"/>
    <w:rsid w:val="00D56005"/>
    <w:rsid w:val="00D56139"/>
    <w:rsid w:val="00D5652A"/>
    <w:rsid w:val="00D605CC"/>
    <w:rsid w:val="00D617AB"/>
    <w:rsid w:val="00D622E3"/>
    <w:rsid w:val="00D63919"/>
    <w:rsid w:val="00D63CCB"/>
    <w:rsid w:val="00D64AD2"/>
    <w:rsid w:val="00D64ADA"/>
    <w:rsid w:val="00D65CB0"/>
    <w:rsid w:val="00D65E1C"/>
    <w:rsid w:val="00D667EC"/>
    <w:rsid w:val="00D66C16"/>
    <w:rsid w:val="00D67789"/>
    <w:rsid w:val="00D677C0"/>
    <w:rsid w:val="00D67ACE"/>
    <w:rsid w:val="00D702DE"/>
    <w:rsid w:val="00D706A1"/>
    <w:rsid w:val="00D70887"/>
    <w:rsid w:val="00D70C0C"/>
    <w:rsid w:val="00D71071"/>
    <w:rsid w:val="00D727BC"/>
    <w:rsid w:val="00D73E79"/>
    <w:rsid w:val="00D74326"/>
    <w:rsid w:val="00D747EE"/>
    <w:rsid w:val="00D753C7"/>
    <w:rsid w:val="00D7547A"/>
    <w:rsid w:val="00D76601"/>
    <w:rsid w:val="00D76E95"/>
    <w:rsid w:val="00D77574"/>
    <w:rsid w:val="00D77A20"/>
    <w:rsid w:val="00D8060C"/>
    <w:rsid w:val="00D80A1C"/>
    <w:rsid w:val="00D80A53"/>
    <w:rsid w:val="00D81E41"/>
    <w:rsid w:val="00D82127"/>
    <w:rsid w:val="00D83021"/>
    <w:rsid w:val="00D84808"/>
    <w:rsid w:val="00D84C02"/>
    <w:rsid w:val="00D8546F"/>
    <w:rsid w:val="00D8672C"/>
    <w:rsid w:val="00D86E6F"/>
    <w:rsid w:val="00D872A9"/>
    <w:rsid w:val="00D8770A"/>
    <w:rsid w:val="00D878D5"/>
    <w:rsid w:val="00D87B05"/>
    <w:rsid w:val="00D87D93"/>
    <w:rsid w:val="00D87F53"/>
    <w:rsid w:val="00D92706"/>
    <w:rsid w:val="00D92A30"/>
    <w:rsid w:val="00D93F6B"/>
    <w:rsid w:val="00D94DDB"/>
    <w:rsid w:val="00D94DEC"/>
    <w:rsid w:val="00D95458"/>
    <w:rsid w:val="00D955C4"/>
    <w:rsid w:val="00D958DF"/>
    <w:rsid w:val="00D95924"/>
    <w:rsid w:val="00D95D3E"/>
    <w:rsid w:val="00D95F24"/>
    <w:rsid w:val="00D974A8"/>
    <w:rsid w:val="00D97DB1"/>
    <w:rsid w:val="00DA073E"/>
    <w:rsid w:val="00DA0EC4"/>
    <w:rsid w:val="00DA12F2"/>
    <w:rsid w:val="00DA135B"/>
    <w:rsid w:val="00DA1785"/>
    <w:rsid w:val="00DA17DE"/>
    <w:rsid w:val="00DA1C3F"/>
    <w:rsid w:val="00DA2370"/>
    <w:rsid w:val="00DA2694"/>
    <w:rsid w:val="00DA3EA6"/>
    <w:rsid w:val="00DA3EB3"/>
    <w:rsid w:val="00DA50DF"/>
    <w:rsid w:val="00DA5947"/>
    <w:rsid w:val="00DA5A6B"/>
    <w:rsid w:val="00DA5E7D"/>
    <w:rsid w:val="00DA632D"/>
    <w:rsid w:val="00DA63D6"/>
    <w:rsid w:val="00DA6BBF"/>
    <w:rsid w:val="00DA6C24"/>
    <w:rsid w:val="00DA6D4F"/>
    <w:rsid w:val="00DA702F"/>
    <w:rsid w:val="00DA752D"/>
    <w:rsid w:val="00DA75B8"/>
    <w:rsid w:val="00DA75DC"/>
    <w:rsid w:val="00DB05EA"/>
    <w:rsid w:val="00DB1D4B"/>
    <w:rsid w:val="00DB354B"/>
    <w:rsid w:val="00DB382D"/>
    <w:rsid w:val="00DB38FA"/>
    <w:rsid w:val="00DB3EB7"/>
    <w:rsid w:val="00DB4188"/>
    <w:rsid w:val="00DB477C"/>
    <w:rsid w:val="00DB5EEB"/>
    <w:rsid w:val="00DB5F12"/>
    <w:rsid w:val="00DB5F60"/>
    <w:rsid w:val="00DB6043"/>
    <w:rsid w:val="00DB6116"/>
    <w:rsid w:val="00DB7621"/>
    <w:rsid w:val="00DB7897"/>
    <w:rsid w:val="00DC2F79"/>
    <w:rsid w:val="00DC3C65"/>
    <w:rsid w:val="00DC424C"/>
    <w:rsid w:val="00DC44D7"/>
    <w:rsid w:val="00DC4637"/>
    <w:rsid w:val="00DC496C"/>
    <w:rsid w:val="00DC4F2D"/>
    <w:rsid w:val="00DC5808"/>
    <w:rsid w:val="00DC6CD8"/>
    <w:rsid w:val="00DC7375"/>
    <w:rsid w:val="00DD07EE"/>
    <w:rsid w:val="00DD0FDC"/>
    <w:rsid w:val="00DD159B"/>
    <w:rsid w:val="00DD235F"/>
    <w:rsid w:val="00DD23B9"/>
    <w:rsid w:val="00DD2FB2"/>
    <w:rsid w:val="00DD4523"/>
    <w:rsid w:val="00DD50A1"/>
    <w:rsid w:val="00DD57E7"/>
    <w:rsid w:val="00DD5873"/>
    <w:rsid w:val="00DD59D6"/>
    <w:rsid w:val="00DD63D4"/>
    <w:rsid w:val="00DD75CF"/>
    <w:rsid w:val="00DD75F3"/>
    <w:rsid w:val="00DD763C"/>
    <w:rsid w:val="00DE0207"/>
    <w:rsid w:val="00DE030F"/>
    <w:rsid w:val="00DE0D46"/>
    <w:rsid w:val="00DE0DA8"/>
    <w:rsid w:val="00DE1563"/>
    <w:rsid w:val="00DE2237"/>
    <w:rsid w:val="00DE2436"/>
    <w:rsid w:val="00DE2BB1"/>
    <w:rsid w:val="00DE4530"/>
    <w:rsid w:val="00DE4A19"/>
    <w:rsid w:val="00DE4E2A"/>
    <w:rsid w:val="00DE51EA"/>
    <w:rsid w:val="00DE5312"/>
    <w:rsid w:val="00DE565B"/>
    <w:rsid w:val="00DE60A8"/>
    <w:rsid w:val="00DE632C"/>
    <w:rsid w:val="00DE6D5F"/>
    <w:rsid w:val="00DE767F"/>
    <w:rsid w:val="00DE7D95"/>
    <w:rsid w:val="00DE7EE6"/>
    <w:rsid w:val="00DF1265"/>
    <w:rsid w:val="00DF12EB"/>
    <w:rsid w:val="00DF1570"/>
    <w:rsid w:val="00DF19F6"/>
    <w:rsid w:val="00DF1C76"/>
    <w:rsid w:val="00DF2553"/>
    <w:rsid w:val="00DF35B9"/>
    <w:rsid w:val="00DF3651"/>
    <w:rsid w:val="00DF3D8D"/>
    <w:rsid w:val="00DF4260"/>
    <w:rsid w:val="00DF464F"/>
    <w:rsid w:val="00DF4CCF"/>
    <w:rsid w:val="00DF5195"/>
    <w:rsid w:val="00DF5445"/>
    <w:rsid w:val="00DF548C"/>
    <w:rsid w:val="00DF55FC"/>
    <w:rsid w:val="00DF5FDB"/>
    <w:rsid w:val="00DF6978"/>
    <w:rsid w:val="00DF6C1E"/>
    <w:rsid w:val="00DF7363"/>
    <w:rsid w:val="00DF765A"/>
    <w:rsid w:val="00E0010F"/>
    <w:rsid w:val="00E01B1E"/>
    <w:rsid w:val="00E022E9"/>
    <w:rsid w:val="00E03C93"/>
    <w:rsid w:val="00E040F1"/>
    <w:rsid w:val="00E04411"/>
    <w:rsid w:val="00E0452C"/>
    <w:rsid w:val="00E04ED0"/>
    <w:rsid w:val="00E0509C"/>
    <w:rsid w:val="00E05CB2"/>
    <w:rsid w:val="00E05E43"/>
    <w:rsid w:val="00E05F76"/>
    <w:rsid w:val="00E06224"/>
    <w:rsid w:val="00E0646D"/>
    <w:rsid w:val="00E06C32"/>
    <w:rsid w:val="00E1058F"/>
    <w:rsid w:val="00E10B63"/>
    <w:rsid w:val="00E11DD1"/>
    <w:rsid w:val="00E12A2A"/>
    <w:rsid w:val="00E13088"/>
    <w:rsid w:val="00E130F0"/>
    <w:rsid w:val="00E1349F"/>
    <w:rsid w:val="00E135BB"/>
    <w:rsid w:val="00E13B65"/>
    <w:rsid w:val="00E1423C"/>
    <w:rsid w:val="00E143AE"/>
    <w:rsid w:val="00E1480A"/>
    <w:rsid w:val="00E14BB8"/>
    <w:rsid w:val="00E15B9B"/>
    <w:rsid w:val="00E15DDF"/>
    <w:rsid w:val="00E161FC"/>
    <w:rsid w:val="00E16F10"/>
    <w:rsid w:val="00E1722F"/>
    <w:rsid w:val="00E20914"/>
    <w:rsid w:val="00E20BDE"/>
    <w:rsid w:val="00E210E7"/>
    <w:rsid w:val="00E210EF"/>
    <w:rsid w:val="00E215E9"/>
    <w:rsid w:val="00E21AAC"/>
    <w:rsid w:val="00E21DB1"/>
    <w:rsid w:val="00E221C0"/>
    <w:rsid w:val="00E22D47"/>
    <w:rsid w:val="00E234F8"/>
    <w:rsid w:val="00E241BD"/>
    <w:rsid w:val="00E25563"/>
    <w:rsid w:val="00E263A3"/>
    <w:rsid w:val="00E2652A"/>
    <w:rsid w:val="00E27A79"/>
    <w:rsid w:val="00E27EBF"/>
    <w:rsid w:val="00E30A09"/>
    <w:rsid w:val="00E30B65"/>
    <w:rsid w:val="00E31431"/>
    <w:rsid w:val="00E31434"/>
    <w:rsid w:val="00E317DC"/>
    <w:rsid w:val="00E31B60"/>
    <w:rsid w:val="00E32167"/>
    <w:rsid w:val="00E32356"/>
    <w:rsid w:val="00E329C8"/>
    <w:rsid w:val="00E3331D"/>
    <w:rsid w:val="00E33654"/>
    <w:rsid w:val="00E34D00"/>
    <w:rsid w:val="00E34E64"/>
    <w:rsid w:val="00E357FD"/>
    <w:rsid w:val="00E35FE6"/>
    <w:rsid w:val="00E36438"/>
    <w:rsid w:val="00E3665E"/>
    <w:rsid w:val="00E36BEE"/>
    <w:rsid w:val="00E36C7A"/>
    <w:rsid w:val="00E36D3B"/>
    <w:rsid w:val="00E373A0"/>
    <w:rsid w:val="00E37BB6"/>
    <w:rsid w:val="00E401D5"/>
    <w:rsid w:val="00E407A3"/>
    <w:rsid w:val="00E41532"/>
    <w:rsid w:val="00E417C5"/>
    <w:rsid w:val="00E427CD"/>
    <w:rsid w:val="00E42F1A"/>
    <w:rsid w:val="00E45179"/>
    <w:rsid w:val="00E455E7"/>
    <w:rsid w:val="00E45DA7"/>
    <w:rsid w:val="00E46619"/>
    <w:rsid w:val="00E4666D"/>
    <w:rsid w:val="00E46954"/>
    <w:rsid w:val="00E46D4E"/>
    <w:rsid w:val="00E478C7"/>
    <w:rsid w:val="00E479DB"/>
    <w:rsid w:val="00E503FC"/>
    <w:rsid w:val="00E5045C"/>
    <w:rsid w:val="00E516DB"/>
    <w:rsid w:val="00E52D65"/>
    <w:rsid w:val="00E535CC"/>
    <w:rsid w:val="00E54962"/>
    <w:rsid w:val="00E557BC"/>
    <w:rsid w:val="00E5586F"/>
    <w:rsid w:val="00E55ABC"/>
    <w:rsid w:val="00E56A8B"/>
    <w:rsid w:val="00E56CDD"/>
    <w:rsid w:val="00E56E61"/>
    <w:rsid w:val="00E570B0"/>
    <w:rsid w:val="00E57281"/>
    <w:rsid w:val="00E579AB"/>
    <w:rsid w:val="00E6017C"/>
    <w:rsid w:val="00E60A26"/>
    <w:rsid w:val="00E60AF4"/>
    <w:rsid w:val="00E60F8C"/>
    <w:rsid w:val="00E61EB4"/>
    <w:rsid w:val="00E62637"/>
    <w:rsid w:val="00E62956"/>
    <w:rsid w:val="00E63CB9"/>
    <w:rsid w:val="00E64920"/>
    <w:rsid w:val="00E64AA5"/>
    <w:rsid w:val="00E65A69"/>
    <w:rsid w:val="00E65B08"/>
    <w:rsid w:val="00E66430"/>
    <w:rsid w:val="00E66645"/>
    <w:rsid w:val="00E66879"/>
    <w:rsid w:val="00E669F9"/>
    <w:rsid w:val="00E670D3"/>
    <w:rsid w:val="00E67CC1"/>
    <w:rsid w:val="00E7135A"/>
    <w:rsid w:val="00E714A2"/>
    <w:rsid w:val="00E715C9"/>
    <w:rsid w:val="00E71E90"/>
    <w:rsid w:val="00E720D1"/>
    <w:rsid w:val="00E72326"/>
    <w:rsid w:val="00E73B7D"/>
    <w:rsid w:val="00E73D27"/>
    <w:rsid w:val="00E74D94"/>
    <w:rsid w:val="00E75EB3"/>
    <w:rsid w:val="00E75F03"/>
    <w:rsid w:val="00E762C6"/>
    <w:rsid w:val="00E762CC"/>
    <w:rsid w:val="00E7661D"/>
    <w:rsid w:val="00E766A1"/>
    <w:rsid w:val="00E76B76"/>
    <w:rsid w:val="00E76F49"/>
    <w:rsid w:val="00E80054"/>
    <w:rsid w:val="00E803C1"/>
    <w:rsid w:val="00E818E9"/>
    <w:rsid w:val="00E82872"/>
    <w:rsid w:val="00E82CDD"/>
    <w:rsid w:val="00E83057"/>
    <w:rsid w:val="00E839C9"/>
    <w:rsid w:val="00E83ADE"/>
    <w:rsid w:val="00E85DD4"/>
    <w:rsid w:val="00E86421"/>
    <w:rsid w:val="00E907E2"/>
    <w:rsid w:val="00E908C3"/>
    <w:rsid w:val="00E91815"/>
    <w:rsid w:val="00E91983"/>
    <w:rsid w:val="00E92966"/>
    <w:rsid w:val="00E93209"/>
    <w:rsid w:val="00E9320B"/>
    <w:rsid w:val="00E932D0"/>
    <w:rsid w:val="00E937BE"/>
    <w:rsid w:val="00E94F7E"/>
    <w:rsid w:val="00E95BF8"/>
    <w:rsid w:val="00E964DF"/>
    <w:rsid w:val="00E97036"/>
    <w:rsid w:val="00E97469"/>
    <w:rsid w:val="00E97675"/>
    <w:rsid w:val="00E97739"/>
    <w:rsid w:val="00E97D9C"/>
    <w:rsid w:val="00EA054B"/>
    <w:rsid w:val="00EA0FAE"/>
    <w:rsid w:val="00EA1103"/>
    <w:rsid w:val="00EA13BA"/>
    <w:rsid w:val="00EA1995"/>
    <w:rsid w:val="00EA1F10"/>
    <w:rsid w:val="00EA269B"/>
    <w:rsid w:val="00EA272A"/>
    <w:rsid w:val="00EA3C17"/>
    <w:rsid w:val="00EA3C8F"/>
    <w:rsid w:val="00EA3D0C"/>
    <w:rsid w:val="00EA3E30"/>
    <w:rsid w:val="00EA404D"/>
    <w:rsid w:val="00EA45BB"/>
    <w:rsid w:val="00EA4F7A"/>
    <w:rsid w:val="00EA58B2"/>
    <w:rsid w:val="00EA5977"/>
    <w:rsid w:val="00EA5B78"/>
    <w:rsid w:val="00EA66BD"/>
    <w:rsid w:val="00EA721B"/>
    <w:rsid w:val="00EA731C"/>
    <w:rsid w:val="00EA7545"/>
    <w:rsid w:val="00EB0258"/>
    <w:rsid w:val="00EB0A6E"/>
    <w:rsid w:val="00EB1ED3"/>
    <w:rsid w:val="00EB2229"/>
    <w:rsid w:val="00EB2258"/>
    <w:rsid w:val="00EB279B"/>
    <w:rsid w:val="00EB3275"/>
    <w:rsid w:val="00EB32D4"/>
    <w:rsid w:val="00EB32FA"/>
    <w:rsid w:val="00EB46DF"/>
    <w:rsid w:val="00EB541D"/>
    <w:rsid w:val="00EB56AC"/>
    <w:rsid w:val="00EB5818"/>
    <w:rsid w:val="00EB62D6"/>
    <w:rsid w:val="00EB65C4"/>
    <w:rsid w:val="00EB6760"/>
    <w:rsid w:val="00EB6766"/>
    <w:rsid w:val="00EB6BE5"/>
    <w:rsid w:val="00EB79A8"/>
    <w:rsid w:val="00EC10F6"/>
    <w:rsid w:val="00EC1184"/>
    <w:rsid w:val="00EC1251"/>
    <w:rsid w:val="00EC1271"/>
    <w:rsid w:val="00EC147A"/>
    <w:rsid w:val="00EC14C1"/>
    <w:rsid w:val="00EC1987"/>
    <w:rsid w:val="00EC1DED"/>
    <w:rsid w:val="00EC23B4"/>
    <w:rsid w:val="00EC29BA"/>
    <w:rsid w:val="00EC36CC"/>
    <w:rsid w:val="00EC36E4"/>
    <w:rsid w:val="00EC3BE7"/>
    <w:rsid w:val="00EC3BEF"/>
    <w:rsid w:val="00EC3E96"/>
    <w:rsid w:val="00EC479D"/>
    <w:rsid w:val="00EC4A1D"/>
    <w:rsid w:val="00EC4EC9"/>
    <w:rsid w:val="00EC57F4"/>
    <w:rsid w:val="00EC6033"/>
    <w:rsid w:val="00EC61EB"/>
    <w:rsid w:val="00EC6DD4"/>
    <w:rsid w:val="00EC6E22"/>
    <w:rsid w:val="00ED0D55"/>
    <w:rsid w:val="00ED13D2"/>
    <w:rsid w:val="00ED1740"/>
    <w:rsid w:val="00ED1B7D"/>
    <w:rsid w:val="00ED2A9F"/>
    <w:rsid w:val="00ED2D81"/>
    <w:rsid w:val="00ED32EC"/>
    <w:rsid w:val="00ED3781"/>
    <w:rsid w:val="00ED37C0"/>
    <w:rsid w:val="00ED426E"/>
    <w:rsid w:val="00ED4A5C"/>
    <w:rsid w:val="00ED5346"/>
    <w:rsid w:val="00ED5A41"/>
    <w:rsid w:val="00ED6C74"/>
    <w:rsid w:val="00ED709E"/>
    <w:rsid w:val="00ED7E49"/>
    <w:rsid w:val="00EE0422"/>
    <w:rsid w:val="00EE0C7F"/>
    <w:rsid w:val="00EE1A6F"/>
    <w:rsid w:val="00EE2C57"/>
    <w:rsid w:val="00EE2E22"/>
    <w:rsid w:val="00EE33CB"/>
    <w:rsid w:val="00EE3580"/>
    <w:rsid w:val="00EE500A"/>
    <w:rsid w:val="00EE59F5"/>
    <w:rsid w:val="00EE5A51"/>
    <w:rsid w:val="00EE60E7"/>
    <w:rsid w:val="00EE69F7"/>
    <w:rsid w:val="00EE722A"/>
    <w:rsid w:val="00EE7DB6"/>
    <w:rsid w:val="00EE7DFD"/>
    <w:rsid w:val="00EF016E"/>
    <w:rsid w:val="00EF14D1"/>
    <w:rsid w:val="00EF27AB"/>
    <w:rsid w:val="00EF2EA8"/>
    <w:rsid w:val="00EF372C"/>
    <w:rsid w:val="00EF3848"/>
    <w:rsid w:val="00EF3A6F"/>
    <w:rsid w:val="00EF3BC3"/>
    <w:rsid w:val="00EF3DE8"/>
    <w:rsid w:val="00EF5611"/>
    <w:rsid w:val="00EF5674"/>
    <w:rsid w:val="00EF5B53"/>
    <w:rsid w:val="00EF60A7"/>
    <w:rsid w:val="00EF6CCB"/>
    <w:rsid w:val="00EF6DA2"/>
    <w:rsid w:val="00F0048F"/>
    <w:rsid w:val="00F02E35"/>
    <w:rsid w:val="00F03127"/>
    <w:rsid w:val="00F0327C"/>
    <w:rsid w:val="00F03F6C"/>
    <w:rsid w:val="00F04490"/>
    <w:rsid w:val="00F046B2"/>
    <w:rsid w:val="00F04AC0"/>
    <w:rsid w:val="00F05168"/>
    <w:rsid w:val="00F05777"/>
    <w:rsid w:val="00F06348"/>
    <w:rsid w:val="00F07312"/>
    <w:rsid w:val="00F11290"/>
    <w:rsid w:val="00F119F9"/>
    <w:rsid w:val="00F12BED"/>
    <w:rsid w:val="00F13240"/>
    <w:rsid w:val="00F133D0"/>
    <w:rsid w:val="00F140C9"/>
    <w:rsid w:val="00F14BC9"/>
    <w:rsid w:val="00F158DD"/>
    <w:rsid w:val="00F15F54"/>
    <w:rsid w:val="00F15FAA"/>
    <w:rsid w:val="00F20DA6"/>
    <w:rsid w:val="00F2114A"/>
    <w:rsid w:val="00F21653"/>
    <w:rsid w:val="00F21A1C"/>
    <w:rsid w:val="00F21D8E"/>
    <w:rsid w:val="00F22005"/>
    <w:rsid w:val="00F222AE"/>
    <w:rsid w:val="00F2354E"/>
    <w:rsid w:val="00F24447"/>
    <w:rsid w:val="00F24957"/>
    <w:rsid w:val="00F2530A"/>
    <w:rsid w:val="00F2635B"/>
    <w:rsid w:val="00F2662A"/>
    <w:rsid w:val="00F266AF"/>
    <w:rsid w:val="00F26C6E"/>
    <w:rsid w:val="00F27DB5"/>
    <w:rsid w:val="00F27E4B"/>
    <w:rsid w:val="00F303B1"/>
    <w:rsid w:val="00F3108D"/>
    <w:rsid w:val="00F31B41"/>
    <w:rsid w:val="00F31DCB"/>
    <w:rsid w:val="00F31F0A"/>
    <w:rsid w:val="00F32436"/>
    <w:rsid w:val="00F332DE"/>
    <w:rsid w:val="00F332EB"/>
    <w:rsid w:val="00F336F4"/>
    <w:rsid w:val="00F35D60"/>
    <w:rsid w:val="00F35E8F"/>
    <w:rsid w:val="00F35F39"/>
    <w:rsid w:val="00F36732"/>
    <w:rsid w:val="00F36B03"/>
    <w:rsid w:val="00F36E39"/>
    <w:rsid w:val="00F36E88"/>
    <w:rsid w:val="00F371C8"/>
    <w:rsid w:val="00F372EC"/>
    <w:rsid w:val="00F373DE"/>
    <w:rsid w:val="00F374E2"/>
    <w:rsid w:val="00F379DC"/>
    <w:rsid w:val="00F40F69"/>
    <w:rsid w:val="00F414FB"/>
    <w:rsid w:val="00F415F7"/>
    <w:rsid w:val="00F41FB2"/>
    <w:rsid w:val="00F42BC2"/>
    <w:rsid w:val="00F42FAF"/>
    <w:rsid w:val="00F4389D"/>
    <w:rsid w:val="00F438A5"/>
    <w:rsid w:val="00F446CE"/>
    <w:rsid w:val="00F44C30"/>
    <w:rsid w:val="00F45029"/>
    <w:rsid w:val="00F4571E"/>
    <w:rsid w:val="00F46914"/>
    <w:rsid w:val="00F46DCF"/>
    <w:rsid w:val="00F50818"/>
    <w:rsid w:val="00F50D80"/>
    <w:rsid w:val="00F50ED5"/>
    <w:rsid w:val="00F512BD"/>
    <w:rsid w:val="00F52822"/>
    <w:rsid w:val="00F539E2"/>
    <w:rsid w:val="00F5420E"/>
    <w:rsid w:val="00F54803"/>
    <w:rsid w:val="00F54852"/>
    <w:rsid w:val="00F54A52"/>
    <w:rsid w:val="00F54FC3"/>
    <w:rsid w:val="00F56AE1"/>
    <w:rsid w:val="00F56E42"/>
    <w:rsid w:val="00F5706B"/>
    <w:rsid w:val="00F57507"/>
    <w:rsid w:val="00F5774C"/>
    <w:rsid w:val="00F60086"/>
    <w:rsid w:val="00F605D2"/>
    <w:rsid w:val="00F606F7"/>
    <w:rsid w:val="00F60718"/>
    <w:rsid w:val="00F60C70"/>
    <w:rsid w:val="00F60F32"/>
    <w:rsid w:val="00F6348B"/>
    <w:rsid w:val="00F63A2E"/>
    <w:rsid w:val="00F63AB1"/>
    <w:rsid w:val="00F642C8"/>
    <w:rsid w:val="00F6449A"/>
    <w:rsid w:val="00F646CB"/>
    <w:rsid w:val="00F64B48"/>
    <w:rsid w:val="00F64E1E"/>
    <w:rsid w:val="00F656B4"/>
    <w:rsid w:val="00F65D0D"/>
    <w:rsid w:val="00F662E6"/>
    <w:rsid w:val="00F66A6E"/>
    <w:rsid w:val="00F66F32"/>
    <w:rsid w:val="00F67D05"/>
    <w:rsid w:val="00F70416"/>
    <w:rsid w:val="00F70E01"/>
    <w:rsid w:val="00F7173C"/>
    <w:rsid w:val="00F720AE"/>
    <w:rsid w:val="00F72459"/>
    <w:rsid w:val="00F72620"/>
    <w:rsid w:val="00F7264B"/>
    <w:rsid w:val="00F73AD9"/>
    <w:rsid w:val="00F73F39"/>
    <w:rsid w:val="00F75132"/>
    <w:rsid w:val="00F75600"/>
    <w:rsid w:val="00F76A51"/>
    <w:rsid w:val="00F76CB5"/>
    <w:rsid w:val="00F772EE"/>
    <w:rsid w:val="00F80072"/>
    <w:rsid w:val="00F801B1"/>
    <w:rsid w:val="00F80BE4"/>
    <w:rsid w:val="00F8162A"/>
    <w:rsid w:val="00F81681"/>
    <w:rsid w:val="00F81978"/>
    <w:rsid w:val="00F8197D"/>
    <w:rsid w:val="00F81E87"/>
    <w:rsid w:val="00F81FAB"/>
    <w:rsid w:val="00F82D32"/>
    <w:rsid w:val="00F82FA2"/>
    <w:rsid w:val="00F82FDA"/>
    <w:rsid w:val="00F8322A"/>
    <w:rsid w:val="00F832AC"/>
    <w:rsid w:val="00F837EB"/>
    <w:rsid w:val="00F845B6"/>
    <w:rsid w:val="00F84965"/>
    <w:rsid w:val="00F84B96"/>
    <w:rsid w:val="00F84C2D"/>
    <w:rsid w:val="00F8525C"/>
    <w:rsid w:val="00F85603"/>
    <w:rsid w:val="00F86560"/>
    <w:rsid w:val="00F86CA4"/>
    <w:rsid w:val="00F86CF1"/>
    <w:rsid w:val="00F8705F"/>
    <w:rsid w:val="00F87328"/>
    <w:rsid w:val="00F87392"/>
    <w:rsid w:val="00F87407"/>
    <w:rsid w:val="00F91323"/>
    <w:rsid w:val="00F9161E"/>
    <w:rsid w:val="00F9167B"/>
    <w:rsid w:val="00F91729"/>
    <w:rsid w:val="00F91A68"/>
    <w:rsid w:val="00F91B28"/>
    <w:rsid w:val="00F91C51"/>
    <w:rsid w:val="00F92837"/>
    <w:rsid w:val="00F928F8"/>
    <w:rsid w:val="00F92A42"/>
    <w:rsid w:val="00F93652"/>
    <w:rsid w:val="00F93741"/>
    <w:rsid w:val="00F93FEE"/>
    <w:rsid w:val="00F94C38"/>
    <w:rsid w:val="00F95808"/>
    <w:rsid w:val="00F95838"/>
    <w:rsid w:val="00F9648B"/>
    <w:rsid w:val="00F968BD"/>
    <w:rsid w:val="00F96F11"/>
    <w:rsid w:val="00F9708F"/>
    <w:rsid w:val="00F972CC"/>
    <w:rsid w:val="00F97341"/>
    <w:rsid w:val="00FA0D90"/>
    <w:rsid w:val="00FA0EFB"/>
    <w:rsid w:val="00FA15C1"/>
    <w:rsid w:val="00FA1B6A"/>
    <w:rsid w:val="00FA2215"/>
    <w:rsid w:val="00FA2A21"/>
    <w:rsid w:val="00FA3E9D"/>
    <w:rsid w:val="00FA3F60"/>
    <w:rsid w:val="00FA3F94"/>
    <w:rsid w:val="00FA3FA9"/>
    <w:rsid w:val="00FA454B"/>
    <w:rsid w:val="00FA5CE7"/>
    <w:rsid w:val="00FA6A02"/>
    <w:rsid w:val="00FA6EF3"/>
    <w:rsid w:val="00FB073B"/>
    <w:rsid w:val="00FB0D11"/>
    <w:rsid w:val="00FB13E2"/>
    <w:rsid w:val="00FB1605"/>
    <w:rsid w:val="00FB1A92"/>
    <w:rsid w:val="00FB2188"/>
    <w:rsid w:val="00FB259E"/>
    <w:rsid w:val="00FB2947"/>
    <w:rsid w:val="00FB296C"/>
    <w:rsid w:val="00FB2BAF"/>
    <w:rsid w:val="00FB2D08"/>
    <w:rsid w:val="00FB30C9"/>
    <w:rsid w:val="00FB3688"/>
    <w:rsid w:val="00FB36B4"/>
    <w:rsid w:val="00FB4172"/>
    <w:rsid w:val="00FB49F3"/>
    <w:rsid w:val="00FB7439"/>
    <w:rsid w:val="00FC0B09"/>
    <w:rsid w:val="00FC0FB8"/>
    <w:rsid w:val="00FC1D13"/>
    <w:rsid w:val="00FC21D2"/>
    <w:rsid w:val="00FC24B3"/>
    <w:rsid w:val="00FC285D"/>
    <w:rsid w:val="00FC3AAA"/>
    <w:rsid w:val="00FC4433"/>
    <w:rsid w:val="00FC4848"/>
    <w:rsid w:val="00FC51FA"/>
    <w:rsid w:val="00FC6BD8"/>
    <w:rsid w:val="00FC7706"/>
    <w:rsid w:val="00FC7851"/>
    <w:rsid w:val="00FD0728"/>
    <w:rsid w:val="00FD11F5"/>
    <w:rsid w:val="00FD2840"/>
    <w:rsid w:val="00FD2AF4"/>
    <w:rsid w:val="00FD2F2E"/>
    <w:rsid w:val="00FD307B"/>
    <w:rsid w:val="00FD380E"/>
    <w:rsid w:val="00FD4764"/>
    <w:rsid w:val="00FD4929"/>
    <w:rsid w:val="00FD4B6B"/>
    <w:rsid w:val="00FD4DA9"/>
    <w:rsid w:val="00FD4EA4"/>
    <w:rsid w:val="00FD5111"/>
    <w:rsid w:val="00FD5914"/>
    <w:rsid w:val="00FD5B1C"/>
    <w:rsid w:val="00FE01D9"/>
    <w:rsid w:val="00FE17D9"/>
    <w:rsid w:val="00FE1A96"/>
    <w:rsid w:val="00FE1B65"/>
    <w:rsid w:val="00FE2001"/>
    <w:rsid w:val="00FE20DB"/>
    <w:rsid w:val="00FE2346"/>
    <w:rsid w:val="00FE2AE5"/>
    <w:rsid w:val="00FE3354"/>
    <w:rsid w:val="00FE38A3"/>
    <w:rsid w:val="00FE3B71"/>
    <w:rsid w:val="00FE3C02"/>
    <w:rsid w:val="00FE446F"/>
    <w:rsid w:val="00FE4D23"/>
    <w:rsid w:val="00FE501D"/>
    <w:rsid w:val="00FE59EC"/>
    <w:rsid w:val="00FE5C40"/>
    <w:rsid w:val="00FE5ED4"/>
    <w:rsid w:val="00FE67F5"/>
    <w:rsid w:val="00FE6F2A"/>
    <w:rsid w:val="00FE73C6"/>
    <w:rsid w:val="00FE7ACA"/>
    <w:rsid w:val="00FE7D9E"/>
    <w:rsid w:val="00FF04A3"/>
    <w:rsid w:val="00FF04C6"/>
    <w:rsid w:val="00FF060C"/>
    <w:rsid w:val="00FF0A16"/>
    <w:rsid w:val="00FF0FA2"/>
    <w:rsid w:val="00FF17F5"/>
    <w:rsid w:val="00FF1B31"/>
    <w:rsid w:val="00FF1BA9"/>
    <w:rsid w:val="00FF2ADA"/>
    <w:rsid w:val="00FF3174"/>
    <w:rsid w:val="00FF3A03"/>
    <w:rsid w:val="00FF3E3C"/>
    <w:rsid w:val="00FF4180"/>
    <w:rsid w:val="00FF452C"/>
    <w:rsid w:val="00FF4815"/>
    <w:rsid w:val="00FF4E8E"/>
    <w:rsid w:val="00FF5B80"/>
    <w:rsid w:val="00FF5DB6"/>
    <w:rsid w:val="00FF5E0D"/>
    <w:rsid w:val="00FF67AC"/>
    <w:rsid w:val="00FF68B7"/>
    <w:rsid w:val="00FF6D43"/>
    <w:rsid w:val="00FF6DE0"/>
    <w:rsid w:val="00FF7B83"/>
    <w:rsid w:val="010859CB"/>
    <w:rsid w:val="012C6360"/>
    <w:rsid w:val="01551736"/>
    <w:rsid w:val="018204DD"/>
    <w:rsid w:val="01EC7DF0"/>
    <w:rsid w:val="020B02E9"/>
    <w:rsid w:val="02147936"/>
    <w:rsid w:val="022511FF"/>
    <w:rsid w:val="022F5F3E"/>
    <w:rsid w:val="023A1825"/>
    <w:rsid w:val="02671A0C"/>
    <w:rsid w:val="02672E9E"/>
    <w:rsid w:val="02802B98"/>
    <w:rsid w:val="028A4E92"/>
    <w:rsid w:val="02BA6CB0"/>
    <w:rsid w:val="02F76F90"/>
    <w:rsid w:val="03347967"/>
    <w:rsid w:val="03544580"/>
    <w:rsid w:val="03AF3CB3"/>
    <w:rsid w:val="03C7694E"/>
    <w:rsid w:val="03D1593C"/>
    <w:rsid w:val="03E72B61"/>
    <w:rsid w:val="04010A9E"/>
    <w:rsid w:val="04273B89"/>
    <w:rsid w:val="042C3FFD"/>
    <w:rsid w:val="04BA06FC"/>
    <w:rsid w:val="04DF7CDC"/>
    <w:rsid w:val="04E87ABE"/>
    <w:rsid w:val="04F95927"/>
    <w:rsid w:val="05146DFD"/>
    <w:rsid w:val="053A662B"/>
    <w:rsid w:val="053D2A87"/>
    <w:rsid w:val="057A2F37"/>
    <w:rsid w:val="058475F3"/>
    <w:rsid w:val="05AD27F6"/>
    <w:rsid w:val="05C1309B"/>
    <w:rsid w:val="05E11A1D"/>
    <w:rsid w:val="061C4781"/>
    <w:rsid w:val="06357F93"/>
    <w:rsid w:val="06FF7026"/>
    <w:rsid w:val="07201CA4"/>
    <w:rsid w:val="07233264"/>
    <w:rsid w:val="074706DB"/>
    <w:rsid w:val="075218DF"/>
    <w:rsid w:val="07AE4EB4"/>
    <w:rsid w:val="082A74CE"/>
    <w:rsid w:val="083906A1"/>
    <w:rsid w:val="08514F10"/>
    <w:rsid w:val="08D10C2C"/>
    <w:rsid w:val="08D6085A"/>
    <w:rsid w:val="08D90E36"/>
    <w:rsid w:val="08E259D4"/>
    <w:rsid w:val="093F3DDB"/>
    <w:rsid w:val="096B653D"/>
    <w:rsid w:val="09865570"/>
    <w:rsid w:val="09EB2C7F"/>
    <w:rsid w:val="0A0B3154"/>
    <w:rsid w:val="0A200A41"/>
    <w:rsid w:val="0A8E0E1C"/>
    <w:rsid w:val="0A981831"/>
    <w:rsid w:val="0AA70A77"/>
    <w:rsid w:val="0AB968ED"/>
    <w:rsid w:val="0ACA4B43"/>
    <w:rsid w:val="0ADB7197"/>
    <w:rsid w:val="0B6E1DBA"/>
    <w:rsid w:val="0BDE4E13"/>
    <w:rsid w:val="0BFB4911"/>
    <w:rsid w:val="0BFD4BA4"/>
    <w:rsid w:val="0C240CB4"/>
    <w:rsid w:val="0C4513A7"/>
    <w:rsid w:val="0C5F00DE"/>
    <w:rsid w:val="0C9B3087"/>
    <w:rsid w:val="0C9C79CB"/>
    <w:rsid w:val="0CA04515"/>
    <w:rsid w:val="0CAC53DD"/>
    <w:rsid w:val="0CC75FF6"/>
    <w:rsid w:val="0D2B3146"/>
    <w:rsid w:val="0D6040E1"/>
    <w:rsid w:val="0D6E4269"/>
    <w:rsid w:val="0D980E85"/>
    <w:rsid w:val="0DF2469C"/>
    <w:rsid w:val="0E627936"/>
    <w:rsid w:val="0E6E00DE"/>
    <w:rsid w:val="0EB23116"/>
    <w:rsid w:val="0ED553FA"/>
    <w:rsid w:val="0F0E394D"/>
    <w:rsid w:val="0F477578"/>
    <w:rsid w:val="0FC51077"/>
    <w:rsid w:val="10036F54"/>
    <w:rsid w:val="102E78D4"/>
    <w:rsid w:val="10477053"/>
    <w:rsid w:val="104843EB"/>
    <w:rsid w:val="10857989"/>
    <w:rsid w:val="10A873A5"/>
    <w:rsid w:val="10B03568"/>
    <w:rsid w:val="10DC7BBC"/>
    <w:rsid w:val="1139474B"/>
    <w:rsid w:val="114D44BF"/>
    <w:rsid w:val="114E5A01"/>
    <w:rsid w:val="1159539C"/>
    <w:rsid w:val="1173286D"/>
    <w:rsid w:val="118C27F0"/>
    <w:rsid w:val="11D211EC"/>
    <w:rsid w:val="11EB3904"/>
    <w:rsid w:val="11EC0F73"/>
    <w:rsid w:val="11FD4E7C"/>
    <w:rsid w:val="12341A1F"/>
    <w:rsid w:val="123B5980"/>
    <w:rsid w:val="12603944"/>
    <w:rsid w:val="129955C8"/>
    <w:rsid w:val="12EF4C36"/>
    <w:rsid w:val="12F136B3"/>
    <w:rsid w:val="131948CC"/>
    <w:rsid w:val="13705028"/>
    <w:rsid w:val="13726445"/>
    <w:rsid w:val="1388775F"/>
    <w:rsid w:val="138C2E7F"/>
    <w:rsid w:val="13A11B8F"/>
    <w:rsid w:val="13D377EB"/>
    <w:rsid w:val="13E0305B"/>
    <w:rsid w:val="140206E4"/>
    <w:rsid w:val="141E5BF5"/>
    <w:rsid w:val="146B52A4"/>
    <w:rsid w:val="146E5FF0"/>
    <w:rsid w:val="149F5CD5"/>
    <w:rsid w:val="14F77E27"/>
    <w:rsid w:val="1510419E"/>
    <w:rsid w:val="152A04A0"/>
    <w:rsid w:val="159774FA"/>
    <w:rsid w:val="15A84117"/>
    <w:rsid w:val="15E12558"/>
    <w:rsid w:val="160661D5"/>
    <w:rsid w:val="16117171"/>
    <w:rsid w:val="16415425"/>
    <w:rsid w:val="164765AA"/>
    <w:rsid w:val="16651231"/>
    <w:rsid w:val="16C17712"/>
    <w:rsid w:val="16DE7B1B"/>
    <w:rsid w:val="17136DCC"/>
    <w:rsid w:val="17475EBD"/>
    <w:rsid w:val="17745EE0"/>
    <w:rsid w:val="17955FFF"/>
    <w:rsid w:val="179B2609"/>
    <w:rsid w:val="17BC76E2"/>
    <w:rsid w:val="18072B08"/>
    <w:rsid w:val="1842631B"/>
    <w:rsid w:val="18515633"/>
    <w:rsid w:val="186B629E"/>
    <w:rsid w:val="18962092"/>
    <w:rsid w:val="18A706B9"/>
    <w:rsid w:val="18B15F12"/>
    <w:rsid w:val="19324A23"/>
    <w:rsid w:val="1982311A"/>
    <w:rsid w:val="19C423FA"/>
    <w:rsid w:val="1A4B4199"/>
    <w:rsid w:val="1A7F5A3D"/>
    <w:rsid w:val="1A9B6905"/>
    <w:rsid w:val="1AB4568A"/>
    <w:rsid w:val="1AF54551"/>
    <w:rsid w:val="1B0601F1"/>
    <w:rsid w:val="1B227485"/>
    <w:rsid w:val="1B63514B"/>
    <w:rsid w:val="1B674EAD"/>
    <w:rsid w:val="1B6B6C32"/>
    <w:rsid w:val="1BAE391D"/>
    <w:rsid w:val="1C105CD7"/>
    <w:rsid w:val="1C4B7AAA"/>
    <w:rsid w:val="1C51419F"/>
    <w:rsid w:val="1C660314"/>
    <w:rsid w:val="1C6D7ADE"/>
    <w:rsid w:val="1CF5249C"/>
    <w:rsid w:val="1CFDAB4C"/>
    <w:rsid w:val="1D50756C"/>
    <w:rsid w:val="1D6A26C7"/>
    <w:rsid w:val="1D8A2584"/>
    <w:rsid w:val="1D9E7C25"/>
    <w:rsid w:val="1DA8115B"/>
    <w:rsid w:val="1DAA6EE0"/>
    <w:rsid w:val="1DE59343"/>
    <w:rsid w:val="1DEF0B38"/>
    <w:rsid w:val="1E127FA6"/>
    <w:rsid w:val="1E420DC1"/>
    <w:rsid w:val="1E516218"/>
    <w:rsid w:val="1E780C0D"/>
    <w:rsid w:val="1E790A8A"/>
    <w:rsid w:val="1EAC17E8"/>
    <w:rsid w:val="1EC36F09"/>
    <w:rsid w:val="1ECD7FB8"/>
    <w:rsid w:val="1F043E45"/>
    <w:rsid w:val="1F146DF0"/>
    <w:rsid w:val="1F765A0D"/>
    <w:rsid w:val="1F7967BC"/>
    <w:rsid w:val="1F95570F"/>
    <w:rsid w:val="1FB82249"/>
    <w:rsid w:val="1FC1433B"/>
    <w:rsid w:val="1FD64971"/>
    <w:rsid w:val="1FFA4BFE"/>
    <w:rsid w:val="20000743"/>
    <w:rsid w:val="202D2B5F"/>
    <w:rsid w:val="20490380"/>
    <w:rsid w:val="207B2AF1"/>
    <w:rsid w:val="20911F7D"/>
    <w:rsid w:val="20A42B1A"/>
    <w:rsid w:val="20AF50A9"/>
    <w:rsid w:val="20B91A00"/>
    <w:rsid w:val="20E94BBB"/>
    <w:rsid w:val="21374CD0"/>
    <w:rsid w:val="21BE70E1"/>
    <w:rsid w:val="21D73DBD"/>
    <w:rsid w:val="21E14C90"/>
    <w:rsid w:val="221A1CBA"/>
    <w:rsid w:val="223A5B61"/>
    <w:rsid w:val="223C06A4"/>
    <w:rsid w:val="2265188E"/>
    <w:rsid w:val="227F501C"/>
    <w:rsid w:val="22C3052A"/>
    <w:rsid w:val="23465F27"/>
    <w:rsid w:val="2349357D"/>
    <w:rsid w:val="234B9043"/>
    <w:rsid w:val="235C1851"/>
    <w:rsid w:val="237103D4"/>
    <w:rsid w:val="239B5A57"/>
    <w:rsid w:val="23FF1FDA"/>
    <w:rsid w:val="240D2674"/>
    <w:rsid w:val="24113230"/>
    <w:rsid w:val="241B3410"/>
    <w:rsid w:val="24320551"/>
    <w:rsid w:val="243C25FD"/>
    <w:rsid w:val="244E26EC"/>
    <w:rsid w:val="24904B1A"/>
    <w:rsid w:val="249733DA"/>
    <w:rsid w:val="250C3D4F"/>
    <w:rsid w:val="26054DCA"/>
    <w:rsid w:val="260D6D7D"/>
    <w:rsid w:val="26211AAB"/>
    <w:rsid w:val="263467E7"/>
    <w:rsid w:val="26E60163"/>
    <w:rsid w:val="26F6C558"/>
    <w:rsid w:val="26F74C08"/>
    <w:rsid w:val="27053431"/>
    <w:rsid w:val="270D1AB7"/>
    <w:rsid w:val="271565A2"/>
    <w:rsid w:val="272F38E5"/>
    <w:rsid w:val="27455C6D"/>
    <w:rsid w:val="2753038A"/>
    <w:rsid w:val="279467E1"/>
    <w:rsid w:val="27A7364B"/>
    <w:rsid w:val="27B91C76"/>
    <w:rsid w:val="27C23A59"/>
    <w:rsid w:val="27F44743"/>
    <w:rsid w:val="28327168"/>
    <w:rsid w:val="28485A15"/>
    <w:rsid w:val="28D66226"/>
    <w:rsid w:val="28DF33F7"/>
    <w:rsid w:val="28E53263"/>
    <w:rsid w:val="28F21C60"/>
    <w:rsid w:val="29132346"/>
    <w:rsid w:val="297E482E"/>
    <w:rsid w:val="29816398"/>
    <w:rsid w:val="29A85F93"/>
    <w:rsid w:val="29AF43DE"/>
    <w:rsid w:val="29BE7756"/>
    <w:rsid w:val="29F250A2"/>
    <w:rsid w:val="2A04499F"/>
    <w:rsid w:val="2A504439"/>
    <w:rsid w:val="2ABB6365"/>
    <w:rsid w:val="2AC53663"/>
    <w:rsid w:val="2B1409A1"/>
    <w:rsid w:val="2B360BE7"/>
    <w:rsid w:val="2B4B7A5F"/>
    <w:rsid w:val="2B7D7783"/>
    <w:rsid w:val="2C052741"/>
    <w:rsid w:val="2C114158"/>
    <w:rsid w:val="2C197A9F"/>
    <w:rsid w:val="2C6404DA"/>
    <w:rsid w:val="2C8E6130"/>
    <w:rsid w:val="2C9B2934"/>
    <w:rsid w:val="2DBF5FEF"/>
    <w:rsid w:val="2E031262"/>
    <w:rsid w:val="2E755B09"/>
    <w:rsid w:val="2E852ACB"/>
    <w:rsid w:val="2E8C14FD"/>
    <w:rsid w:val="2EA26868"/>
    <w:rsid w:val="2ED1644B"/>
    <w:rsid w:val="2EDE16FA"/>
    <w:rsid w:val="2F083C15"/>
    <w:rsid w:val="2F2E36BB"/>
    <w:rsid w:val="2FA963D4"/>
    <w:rsid w:val="2FEFCF7D"/>
    <w:rsid w:val="30C2189B"/>
    <w:rsid w:val="30CB447F"/>
    <w:rsid w:val="30E73693"/>
    <w:rsid w:val="31483B24"/>
    <w:rsid w:val="314F2171"/>
    <w:rsid w:val="31D67739"/>
    <w:rsid w:val="31FE2C6A"/>
    <w:rsid w:val="32065F59"/>
    <w:rsid w:val="32AC0031"/>
    <w:rsid w:val="32B10F6A"/>
    <w:rsid w:val="331C63CE"/>
    <w:rsid w:val="333316D6"/>
    <w:rsid w:val="334B1B65"/>
    <w:rsid w:val="33937D44"/>
    <w:rsid w:val="33AF0574"/>
    <w:rsid w:val="33C718C3"/>
    <w:rsid w:val="34050B29"/>
    <w:rsid w:val="34414A3D"/>
    <w:rsid w:val="348F3F88"/>
    <w:rsid w:val="34A121A7"/>
    <w:rsid w:val="34B82891"/>
    <w:rsid w:val="34C0477A"/>
    <w:rsid w:val="35547DDF"/>
    <w:rsid w:val="35674F46"/>
    <w:rsid w:val="35C52D0C"/>
    <w:rsid w:val="35DB4086"/>
    <w:rsid w:val="364C4A1C"/>
    <w:rsid w:val="36A924E5"/>
    <w:rsid w:val="36DD725A"/>
    <w:rsid w:val="37223086"/>
    <w:rsid w:val="37417360"/>
    <w:rsid w:val="37DB679D"/>
    <w:rsid w:val="37E1159A"/>
    <w:rsid w:val="37FF3759"/>
    <w:rsid w:val="38405BA3"/>
    <w:rsid w:val="38C76F0E"/>
    <w:rsid w:val="38E8097B"/>
    <w:rsid w:val="38F58830"/>
    <w:rsid w:val="39043A6F"/>
    <w:rsid w:val="390551AD"/>
    <w:rsid w:val="39263A52"/>
    <w:rsid w:val="39961F46"/>
    <w:rsid w:val="39E66E3B"/>
    <w:rsid w:val="39FE3791"/>
    <w:rsid w:val="3A345439"/>
    <w:rsid w:val="3A35017A"/>
    <w:rsid w:val="3A531B4B"/>
    <w:rsid w:val="3A6100A0"/>
    <w:rsid w:val="3A93D22B"/>
    <w:rsid w:val="3AA47B6F"/>
    <w:rsid w:val="3ADD0D30"/>
    <w:rsid w:val="3B0A150C"/>
    <w:rsid w:val="3B1B1948"/>
    <w:rsid w:val="3B3818A9"/>
    <w:rsid w:val="3B500427"/>
    <w:rsid w:val="3B633A97"/>
    <w:rsid w:val="3B983B82"/>
    <w:rsid w:val="3BD27B94"/>
    <w:rsid w:val="3BE75E37"/>
    <w:rsid w:val="3BFD794F"/>
    <w:rsid w:val="3C1566AA"/>
    <w:rsid w:val="3C422860"/>
    <w:rsid w:val="3C5F7EE2"/>
    <w:rsid w:val="3C8E6CF6"/>
    <w:rsid w:val="3C8E74C0"/>
    <w:rsid w:val="3CBD2E64"/>
    <w:rsid w:val="3CC01960"/>
    <w:rsid w:val="3CCB7DCD"/>
    <w:rsid w:val="3CDF61FC"/>
    <w:rsid w:val="3D217C4E"/>
    <w:rsid w:val="3D3F73DB"/>
    <w:rsid w:val="3D4A248F"/>
    <w:rsid w:val="3D5C072E"/>
    <w:rsid w:val="3DCFAD89"/>
    <w:rsid w:val="3DFA76EA"/>
    <w:rsid w:val="3DFFCF2B"/>
    <w:rsid w:val="3E2A54D1"/>
    <w:rsid w:val="3E4A1549"/>
    <w:rsid w:val="3E673ED1"/>
    <w:rsid w:val="3E6D21F1"/>
    <w:rsid w:val="3E8952AB"/>
    <w:rsid w:val="3E8B53EF"/>
    <w:rsid w:val="3ECDA7E3"/>
    <w:rsid w:val="3EEE5F4A"/>
    <w:rsid w:val="3F1310BC"/>
    <w:rsid w:val="3F25659F"/>
    <w:rsid w:val="3F286B9D"/>
    <w:rsid w:val="3F6C2781"/>
    <w:rsid w:val="3F7B4CF0"/>
    <w:rsid w:val="3F9C0C6F"/>
    <w:rsid w:val="3FA73C29"/>
    <w:rsid w:val="3FB6684F"/>
    <w:rsid w:val="3FC13AEE"/>
    <w:rsid w:val="3FC315A4"/>
    <w:rsid w:val="3FC813F4"/>
    <w:rsid w:val="3FD7117D"/>
    <w:rsid w:val="3FEBA09B"/>
    <w:rsid w:val="40030D27"/>
    <w:rsid w:val="40255702"/>
    <w:rsid w:val="402C73CD"/>
    <w:rsid w:val="402D3794"/>
    <w:rsid w:val="40462E09"/>
    <w:rsid w:val="408D66BF"/>
    <w:rsid w:val="40B8784F"/>
    <w:rsid w:val="40C16042"/>
    <w:rsid w:val="40D151EB"/>
    <w:rsid w:val="40D4413E"/>
    <w:rsid w:val="40F64D54"/>
    <w:rsid w:val="41112955"/>
    <w:rsid w:val="41517F91"/>
    <w:rsid w:val="416140AC"/>
    <w:rsid w:val="41766B95"/>
    <w:rsid w:val="41A208C5"/>
    <w:rsid w:val="41A46AC4"/>
    <w:rsid w:val="41D17BBA"/>
    <w:rsid w:val="41DD3B43"/>
    <w:rsid w:val="41F85C80"/>
    <w:rsid w:val="422416AE"/>
    <w:rsid w:val="423E0BC7"/>
    <w:rsid w:val="425B1CA4"/>
    <w:rsid w:val="427217A0"/>
    <w:rsid w:val="42865BA7"/>
    <w:rsid w:val="42F96363"/>
    <w:rsid w:val="430A26F1"/>
    <w:rsid w:val="43284021"/>
    <w:rsid w:val="4343719C"/>
    <w:rsid w:val="43714560"/>
    <w:rsid w:val="437E5FDF"/>
    <w:rsid w:val="442F2A79"/>
    <w:rsid w:val="44420967"/>
    <w:rsid w:val="449B4091"/>
    <w:rsid w:val="44C25D95"/>
    <w:rsid w:val="44DA6353"/>
    <w:rsid w:val="450D27C8"/>
    <w:rsid w:val="45274425"/>
    <w:rsid w:val="456255F2"/>
    <w:rsid w:val="457F719B"/>
    <w:rsid w:val="45B85F05"/>
    <w:rsid w:val="45BE30AC"/>
    <w:rsid w:val="45C01136"/>
    <w:rsid w:val="45D93C11"/>
    <w:rsid w:val="464E11A3"/>
    <w:rsid w:val="465C7F51"/>
    <w:rsid w:val="479206B3"/>
    <w:rsid w:val="47A15CA5"/>
    <w:rsid w:val="47A44D93"/>
    <w:rsid w:val="47BD4BF7"/>
    <w:rsid w:val="47D958BE"/>
    <w:rsid w:val="47FF3141"/>
    <w:rsid w:val="48291C55"/>
    <w:rsid w:val="488E6945"/>
    <w:rsid w:val="48CD4489"/>
    <w:rsid w:val="491B7FFC"/>
    <w:rsid w:val="49433EE8"/>
    <w:rsid w:val="495D742D"/>
    <w:rsid w:val="497672C9"/>
    <w:rsid w:val="499170CD"/>
    <w:rsid w:val="49B51C24"/>
    <w:rsid w:val="49F35E30"/>
    <w:rsid w:val="4A43202A"/>
    <w:rsid w:val="4A557F45"/>
    <w:rsid w:val="4AB5130D"/>
    <w:rsid w:val="4ABA113F"/>
    <w:rsid w:val="4AC51680"/>
    <w:rsid w:val="4B990437"/>
    <w:rsid w:val="4BC132E8"/>
    <w:rsid w:val="4BC167FE"/>
    <w:rsid w:val="4BDA479E"/>
    <w:rsid w:val="4BE45C35"/>
    <w:rsid w:val="4BF16D32"/>
    <w:rsid w:val="4C2537F3"/>
    <w:rsid w:val="4C404532"/>
    <w:rsid w:val="4C7B62F9"/>
    <w:rsid w:val="4CA820F2"/>
    <w:rsid w:val="4CB204B3"/>
    <w:rsid w:val="4CBB5AF7"/>
    <w:rsid w:val="4CC8507C"/>
    <w:rsid w:val="4D213714"/>
    <w:rsid w:val="4D504D41"/>
    <w:rsid w:val="4D6817A1"/>
    <w:rsid w:val="4D7253CB"/>
    <w:rsid w:val="4D786416"/>
    <w:rsid w:val="4D89413D"/>
    <w:rsid w:val="4DA448C0"/>
    <w:rsid w:val="4E2C57C6"/>
    <w:rsid w:val="4E320F5E"/>
    <w:rsid w:val="4E4A228B"/>
    <w:rsid w:val="4E692550"/>
    <w:rsid w:val="4E785DD2"/>
    <w:rsid w:val="4E8C385C"/>
    <w:rsid w:val="4E987AA7"/>
    <w:rsid w:val="4F052F9E"/>
    <w:rsid w:val="4F2D442D"/>
    <w:rsid w:val="4F4576B0"/>
    <w:rsid w:val="4F5C6612"/>
    <w:rsid w:val="4F602CBF"/>
    <w:rsid w:val="4F892BFE"/>
    <w:rsid w:val="4FDE5C62"/>
    <w:rsid w:val="500D0826"/>
    <w:rsid w:val="50116643"/>
    <w:rsid w:val="501A2F43"/>
    <w:rsid w:val="50250ECF"/>
    <w:rsid w:val="503135CB"/>
    <w:rsid w:val="507A77E6"/>
    <w:rsid w:val="507D5595"/>
    <w:rsid w:val="509B6FFA"/>
    <w:rsid w:val="50AC75B7"/>
    <w:rsid w:val="50CD1BF0"/>
    <w:rsid w:val="511E317E"/>
    <w:rsid w:val="514B6A19"/>
    <w:rsid w:val="51BC99E4"/>
    <w:rsid w:val="51E732F9"/>
    <w:rsid w:val="51F806B7"/>
    <w:rsid w:val="52340BEF"/>
    <w:rsid w:val="523D116B"/>
    <w:rsid w:val="523D6190"/>
    <w:rsid w:val="525F6430"/>
    <w:rsid w:val="52911BE2"/>
    <w:rsid w:val="52FE25A5"/>
    <w:rsid w:val="530F04FA"/>
    <w:rsid w:val="533F08B7"/>
    <w:rsid w:val="53A05909"/>
    <w:rsid w:val="53AC4351"/>
    <w:rsid w:val="53AC45BB"/>
    <w:rsid w:val="541016D4"/>
    <w:rsid w:val="54247494"/>
    <w:rsid w:val="54380E57"/>
    <w:rsid w:val="5485510F"/>
    <w:rsid w:val="54DFDC22"/>
    <w:rsid w:val="55414BE2"/>
    <w:rsid w:val="554B1AAB"/>
    <w:rsid w:val="557B58C7"/>
    <w:rsid w:val="559E34D8"/>
    <w:rsid w:val="55AC0AE1"/>
    <w:rsid w:val="55CA50F5"/>
    <w:rsid w:val="55EF1922"/>
    <w:rsid w:val="55F36D31"/>
    <w:rsid w:val="55FE49E7"/>
    <w:rsid w:val="56AD6185"/>
    <w:rsid w:val="56BA654E"/>
    <w:rsid w:val="56D946F3"/>
    <w:rsid w:val="56F664B8"/>
    <w:rsid w:val="574D24C7"/>
    <w:rsid w:val="57682E99"/>
    <w:rsid w:val="577613A7"/>
    <w:rsid w:val="5779764C"/>
    <w:rsid w:val="57811AFA"/>
    <w:rsid w:val="57936FCB"/>
    <w:rsid w:val="580567CC"/>
    <w:rsid w:val="583A3E8E"/>
    <w:rsid w:val="583B0153"/>
    <w:rsid w:val="58D71D06"/>
    <w:rsid w:val="58DB3A98"/>
    <w:rsid w:val="58DD395C"/>
    <w:rsid w:val="58F66614"/>
    <w:rsid w:val="59067F89"/>
    <w:rsid w:val="593220BD"/>
    <w:rsid w:val="59796396"/>
    <w:rsid w:val="59AA78AE"/>
    <w:rsid w:val="59B679DA"/>
    <w:rsid w:val="59E50AF3"/>
    <w:rsid w:val="5A164CA8"/>
    <w:rsid w:val="5A5A6992"/>
    <w:rsid w:val="5A847167"/>
    <w:rsid w:val="5AE1755F"/>
    <w:rsid w:val="5AF07DB4"/>
    <w:rsid w:val="5AFA679F"/>
    <w:rsid w:val="5B036F00"/>
    <w:rsid w:val="5B575649"/>
    <w:rsid w:val="5B75FCC6"/>
    <w:rsid w:val="5B8519B2"/>
    <w:rsid w:val="5B9D21DE"/>
    <w:rsid w:val="5BA6839B"/>
    <w:rsid w:val="5BF011F4"/>
    <w:rsid w:val="5C036CD2"/>
    <w:rsid w:val="5C1D5EBA"/>
    <w:rsid w:val="5C644ED4"/>
    <w:rsid w:val="5CB1269B"/>
    <w:rsid w:val="5CC91EC1"/>
    <w:rsid w:val="5D0B3136"/>
    <w:rsid w:val="5D4C064F"/>
    <w:rsid w:val="5D5F4D95"/>
    <w:rsid w:val="5D5F6439"/>
    <w:rsid w:val="5D73215E"/>
    <w:rsid w:val="5D752101"/>
    <w:rsid w:val="5D85463D"/>
    <w:rsid w:val="5DCCD75A"/>
    <w:rsid w:val="5DEEFD0C"/>
    <w:rsid w:val="5DFD0F51"/>
    <w:rsid w:val="5E0B5D90"/>
    <w:rsid w:val="5E3BF49B"/>
    <w:rsid w:val="5E986C5F"/>
    <w:rsid w:val="5E9A1DC5"/>
    <w:rsid w:val="5E9A3CE6"/>
    <w:rsid w:val="5EA152F3"/>
    <w:rsid w:val="5EC73D40"/>
    <w:rsid w:val="5EDD0429"/>
    <w:rsid w:val="5EEC6F86"/>
    <w:rsid w:val="5EFF3268"/>
    <w:rsid w:val="5F0F5076"/>
    <w:rsid w:val="5F1508DD"/>
    <w:rsid w:val="5F2975F9"/>
    <w:rsid w:val="5F662111"/>
    <w:rsid w:val="5F6F4F33"/>
    <w:rsid w:val="5F7A1C50"/>
    <w:rsid w:val="5F9F5213"/>
    <w:rsid w:val="5FDB17E6"/>
    <w:rsid w:val="5FDE3139"/>
    <w:rsid w:val="5FF13B5A"/>
    <w:rsid w:val="5FFE09E0"/>
    <w:rsid w:val="5FFFBA98"/>
    <w:rsid w:val="600A5E56"/>
    <w:rsid w:val="602F7A5B"/>
    <w:rsid w:val="604D0813"/>
    <w:rsid w:val="607E33AA"/>
    <w:rsid w:val="608228F6"/>
    <w:rsid w:val="608F34F5"/>
    <w:rsid w:val="609D5BF6"/>
    <w:rsid w:val="60B436BF"/>
    <w:rsid w:val="60BE27F4"/>
    <w:rsid w:val="611D2893"/>
    <w:rsid w:val="61214B1C"/>
    <w:rsid w:val="6192239D"/>
    <w:rsid w:val="61D65448"/>
    <w:rsid w:val="61EE3155"/>
    <w:rsid w:val="62302A57"/>
    <w:rsid w:val="62404999"/>
    <w:rsid w:val="625E52B6"/>
    <w:rsid w:val="62890939"/>
    <w:rsid w:val="629244A9"/>
    <w:rsid w:val="62F86197"/>
    <w:rsid w:val="631A52DC"/>
    <w:rsid w:val="63272170"/>
    <w:rsid w:val="633D0C93"/>
    <w:rsid w:val="635E51C5"/>
    <w:rsid w:val="6397630F"/>
    <w:rsid w:val="639D040E"/>
    <w:rsid w:val="639E1AE3"/>
    <w:rsid w:val="63B760B2"/>
    <w:rsid w:val="63CE3548"/>
    <w:rsid w:val="63FE2786"/>
    <w:rsid w:val="64BF3E79"/>
    <w:rsid w:val="64C04CB2"/>
    <w:rsid w:val="64C87FE9"/>
    <w:rsid w:val="64E910CD"/>
    <w:rsid w:val="651327B0"/>
    <w:rsid w:val="654D3310"/>
    <w:rsid w:val="6573554D"/>
    <w:rsid w:val="65754735"/>
    <w:rsid w:val="65824D57"/>
    <w:rsid w:val="65887A44"/>
    <w:rsid w:val="65913889"/>
    <w:rsid w:val="65BF33EE"/>
    <w:rsid w:val="65EC5C1E"/>
    <w:rsid w:val="661E6358"/>
    <w:rsid w:val="66645F44"/>
    <w:rsid w:val="667869D8"/>
    <w:rsid w:val="669C48BB"/>
    <w:rsid w:val="672033F8"/>
    <w:rsid w:val="67205CE9"/>
    <w:rsid w:val="67343DFC"/>
    <w:rsid w:val="67452716"/>
    <w:rsid w:val="67886D6D"/>
    <w:rsid w:val="67AB91BE"/>
    <w:rsid w:val="67D59474"/>
    <w:rsid w:val="67E70573"/>
    <w:rsid w:val="68295C7C"/>
    <w:rsid w:val="68416111"/>
    <w:rsid w:val="68760400"/>
    <w:rsid w:val="690F4B25"/>
    <w:rsid w:val="692E7117"/>
    <w:rsid w:val="692F06D8"/>
    <w:rsid w:val="696278F9"/>
    <w:rsid w:val="699628F5"/>
    <w:rsid w:val="699F3A8F"/>
    <w:rsid w:val="6A0B418F"/>
    <w:rsid w:val="6A0F7F13"/>
    <w:rsid w:val="6A4B1B29"/>
    <w:rsid w:val="6A5D27B3"/>
    <w:rsid w:val="6AEE0AE9"/>
    <w:rsid w:val="6B181E7B"/>
    <w:rsid w:val="6B517D09"/>
    <w:rsid w:val="6BBE0072"/>
    <w:rsid w:val="6BC04E8F"/>
    <w:rsid w:val="6BFFD257"/>
    <w:rsid w:val="6C2409C2"/>
    <w:rsid w:val="6C7B0898"/>
    <w:rsid w:val="6C9327CE"/>
    <w:rsid w:val="6C98019D"/>
    <w:rsid w:val="6C9F392F"/>
    <w:rsid w:val="6CC73400"/>
    <w:rsid w:val="6CD36FC9"/>
    <w:rsid w:val="6CDA0A19"/>
    <w:rsid w:val="6D5E5F69"/>
    <w:rsid w:val="6DCF1858"/>
    <w:rsid w:val="6E0D0170"/>
    <w:rsid w:val="6E1F100C"/>
    <w:rsid w:val="6E3336F6"/>
    <w:rsid w:val="6E8263AE"/>
    <w:rsid w:val="6E907F9A"/>
    <w:rsid w:val="6EBB0FB6"/>
    <w:rsid w:val="6EC8494C"/>
    <w:rsid w:val="6EF2C632"/>
    <w:rsid w:val="6EFDFA9B"/>
    <w:rsid w:val="6F003B91"/>
    <w:rsid w:val="6F1302E4"/>
    <w:rsid w:val="6F161AA3"/>
    <w:rsid w:val="6F2A33DA"/>
    <w:rsid w:val="6F487A12"/>
    <w:rsid w:val="6F4F31CB"/>
    <w:rsid w:val="6F574E4A"/>
    <w:rsid w:val="6F6F2A7D"/>
    <w:rsid w:val="6FDB4201"/>
    <w:rsid w:val="6FED91D9"/>
    <w:rsid w:val="6FF80294"/>
    <w:rsid w:val="6FFFAC33"/>
    <w:rsid w:val="703E23A0"/>
    <w:rsid w:val="7047792D"/>
    <w:rsid w:val="708C6EFD"/>
    <w:rsid w:val="708E03E3"/>
    <w:rsid w:val="70CE3BAA"/>
    <w:rsid w:val="70F24BA0"/>
    <w:rsid w:val="710B52C8"/>
    <w:rsid w:val="71233EF6"/>
    <w:rsid w:val="71317FB7"/>
    <w:rsid w:val="7142648B"/>
    <w:rsid w:val="71564DB9"/>
    <w:rsid w:val="715D1512"/>
    <w:rsid w:val="7162593D"/>
    <w:rsid w:val="71656A88"/>
    <w:rsid w:val="719D058A"/>
    <w:rsid w:val="71BB6B37"/>
    <w:rsid w:val="71C02909"/>
    <w:rsid w:val="722E26CF"/>
    <w:rsid w:val="7285188F"/>
    <w:rsid w:val="72872124"/>
    <w:rsid w:val="72D0329A"/>
    <w:rsid w:val="72EE5A15"/>
    <w:rsid w:val="72F3C521"/>
    <w:rsid w:val="72F740FD"/>
    <w:rsid w:val="72F81A40"/>
    <w:rsid w:val="73177848"/>
    <w:rsid w:val="734B249A"/>
    <w:rsid w:val="73502327"/>
    <w:rsid w:val="735431AC"/>
    <w:rsid w:val="7358058C"/>
    <w:rsid w:val="73963468"/>
    <w:rsid w:val="739962A9"/>
    <w:rsid w:val="73C22DCA"/>
    <w:rsid w:val="73DE1024"/>
    <w:rsid w:val="73E938C1"/>
    <w:rsid w:val="73EE4B3F"/>
    <w:rsid w:val="74254D79"/>
    <w:rsid w:val="74474270"/>
    <w:rsid w:val="747964B6"/>
    <w:rsid w:val="74963220"/>
    <w:rsid w:val="74B121A8"/>
    <w:rsid w:val="74DA5557"/>
    <w:rsid w:val="74EA0540"/>
    <w:rsid w:val="74ED0A2E"/>
    <w:rsid w:val="74FF0333"/>
    <w:rsid w:val="75052EE6"/>
    <w:rsid w:val="75792336"/>
    <w:rsid w:val="758E4FBF"/>
    <w:rsid w:val="75A14337"/>
    <w:rsid w:val="75C60081"/>
    <w:rsid w:val="75CD266E"/>
    <w:rsid w:val="75F70E1A"/>
    <w:rsid w:val="761269F0"/>
    <w:rsid w:val="761E4066"/>
    <w:rsid w:val="762878F9"/>
    <w:rsid w:val="764C18B7"/>
    <w:rsid w:val="767F264B"/>
    <w:rsid w:val="767F52A5"/>
    <w:rsid w:val="76E37225"/>
    <w:rsid w:val="76E7D0A8"/>
    <w:rsid w:val="771B7FF5"/>
    <w:rsid w:val="772D3ADC"/>
    <w:rsid w:val="774D0E49"/>
    <w:rsid w:val="77525A17"/>
    <w:rsid w:val="777D20A1"/>
    <w:rsid w:val="778A3305"/>
    <w:rsid w:val="779363A0"/>
    <w:rsid w:val="77AEF57F"/>
    <w:rsid w:val="77D057E9"/>
    <w:rsid w:val="77D302E4"/>
    <w:rsid w:val="77EAC561"/>
    <w:rsid w:val="77F6D8A8"/>
    <w:rsid w:val="77FA30E4"/>
    <w:rsid w:val="78063C29"/>
    <w:rsid w:val="78200293"/>
    <w:rsid w:val="78487150"/>
    <w:rsid w:val="785B3F75"/>
    <w:rsid w:val="786732E5"/>
    <w:rsid w:val="78692CBB"/>
    <w:rsid w:val="789210C1"/>
    <w:rsid w:val="78C2587F"/>
    <w:rsid w:val="78F3CE36"/>
    <w:rsid w:val="79357F7A"/>
    <w:rsid w:val="79487AD3"/>
    <w:rsid w:val="79513E00"/>
    <w:rsid w:val="797957E2"/>
    <w:rsid w:val="797B7AD9"/>
    <w:rsid w:val="797F393A"/>
    <w:rsid w:val="797F465B"/>
    <w:rsid w:val="799353BF"/>
    <w:rsid w:val="799462E7"/>
    <w:rsid w:val="79B05219"/>
    <w:rsid w:val="79CD1526"/>
    <w:rsid w:val="79FAD240"/>
    <w:rsid w:val="7A4156BC"/>
    <w:rsid w:val="7A55719E"/>
    <w:rsid w:val="7A855176"/>
    <w:rsid w:val="7ABB73F9"/>
    <w:rsid w:val="7AF82CCF"/>
    <w:rsid w:val="7B215191"/>
    <w:rsid w:val="7B23496B"/>
    <w:rsid w:val="7B301500"/>
    <w:rsid w:val="7B451FF2"/>
    <w:rsid w:val="7B542A1C"/>
    <w:rsid w:val="7B770EB0"/>
    <w:rsid w:val="7B803AA3"/>
    <w:rsid w:val="7BAFEC30"/>
    <w:rsid w:val="7BB34EF9"/>
    <w:rsid w:val="7BC2173D"/>
    <w:rsid w:val="7BDC4BA9"/>
    <w:rsid w:val="7BFBAF4E"/>
    <w:rsid w:val="7BFD9DB9"/>
    <w:rsid w:val="7C182BB6"/>
    <w:rsid w:val="7C193F27"/>
    <w:rsid w:val="7C2C42CE"/>
    <w:rsid w:val="7C2F08B1"/>
    <w:rsid w:val="7C3D2F69"/>
    <w:rsid w:val="7C3E6636"/>
    <w:rsid w:val="7C5938C0"/>
    <w:rsid w:val="7C66360B"/>
    <w:rsid w:val="7C6801F5"/>
    <w:rsid w:val="7C746740"/>
    <w:rsid w:val="7C866853"/>
    <w:rsid w:val="7C8F70A1"/>
    <w:rsid w:val="7CBF4FFE"/>
    <w:rsid w:val="7CDE48C1"/>
    <w:rsid w:val="7D293170"/>
    <w:rsid w:val="7D2F461E"/>
    <w:rsid w:val="7D4F3249"/>
    <w:rsid w:val="7D556465"/>
    <w:rsid w:val="7DA66089"/>
    <w:rsid w:val="7DB717A0"/>
    <w:rsid w:val="7DD32975"/>
    <w:rsid w:val="7DDD7B32"/>
    <w:rsid w:val="7DE44527"/>
    <w:rsid w:val="7DFF9DF9"/>
    <w:rsid w:val="7E14379B"/>
    <w:rsid w:val="7E2E32D4"/>
    <w:rsid w:val="7E363583"/>
    <w:rsid w:val="7E7C08C7"/>
    <w:rsid w:val="7E8542DA"/>
    <w:rsid w:val="7E94256F"/>
    <w:rsid w:val="7EB37B8C"/>
    <w:rsid w:val="7EE7090C"/>
    <w:rsid w:val="7EED2922"/>
    <w:rsid w:val="7EED6830"/>
    <w:rsid w:val="7EEFD576"/>
    <w:rsid w:val="7EF41591"/>
    <w:rsid w:val="7F1C3744"/>
    <w:rsid w:val="7F272875"/>
    <w:rsid w:val="7F595ED4"/>
    <w:rsid w:val="7F601E71"/>
    <w:rsid w:val="7F65F3C8"/>
    <w:rsid w:val="7F914720"/>
    <w:rsid w:val="7FBB8728"/>
    <w:rsid w:val="7FD55BDB"/>
    <w:rsid w:val="7FD7C80F"/>
    <w:rsid w:val="7FE64A6C"/>
    <w:rsid w:val="7FEE7A2A"/>
    <w:rsid w:val="7FFB7DEC"/>
    <w:rsid w:val="7FFCC6F5"/>
    <w:rsid w:val="8F7D9D5A"/>
    <w:rsid w:val="96F72BC1"/>
    <w:rsid w:val="97DA54E5"/>
    <w:rsid w:val="97FCD273"/>
    <w:rsid w:val="9A7CB714"/>
    <w:rsid w:val="9DDF8448"/>
    <w:rsid w:val="9F7B0F80"/>
    <w:rsid w:val="AAEE2718"/>
    <w:rsid w:val="AFFF9377"/>
    <w:rsid w:val="B7D4C562"/>
    <w:rsid w:val="BADFC26D"/>
    <w:rsid w:val="BB274AF7"/>
    <w:rsid w:val="BBFFF9A4"/>
    <w:rsid w:val="BC67C9CD"/>
    <w:rsid w:val="BDFDF2D5"/>
    <w:rsid w:val="BDFE5996"/>
    <w:rsid w:val="BFFEE798"/>
    <w:rsid w:val="BFFF0383"/>
    <w:rsid w:val="C1F770A5"/>
    <w:rsid w:val="C3F625AE"/>
    <w:rsid w:val="CF7E82F9"/>
    <w:rsid w:val="D4E5C02D"/>
    <w:rsid w:val="D73FDC8C"/>
    <w:rsid w:val="D7AD038B"/>
    <w:rsid w:val="DAEDAE72"/>
    <w:rsid w:val="DAFD67E7"/>
    <w:rsid w:val="DBF7EC97"/>
    <w:rsid w:val="DDD16A77"/>
    <w:rsid w:val="DDFFB308"/>
    <w:rsid w:val="DE757B34"/>
    <w:rsid w:val="DEFF2418"/>
    <w:rsid w:val="DF7EBCA3"/>
    <w:rsid w:val="DF96FE75"/>
    <w:rsid w:val="DF9F2A82"/>
    <w:rsid w:val="DFED1875"/>
    <w:rsid w:val="DFFB9DBF"/>
    <w:rsid w:val="E5C9671E"/>
    <w:rsid w:val="EAEFEED1"/>
    <w:rsid w:val="EBDE7511"/>
    <w:rsid w:val="EBFDA859"/>
    <w:rsid w:val="ED3E634D"/>
    <w:rsid w:val="ED9FD80E"/>
    <w:rsid w:val="EEDBA1E0"/>
    <w:rsid w:val="EFBD87D2"/>
    <w:rsid w:val="EFDFB587"/>
    <w:rsid w:val="EFFFF4FE"/>
    <w:rsid w:val="F2CFEA00"/>
    <w:rsid w:val="F2FA858B"/>
    <w:rsid w:val="F36F9F61"/>
    <w:rsid w:val="F3BB5C9A"/>
    <w:rsid w:val="F3DEB06C"/>
    <w:rsid w:val="F4FF9017"/>
    <w:rsid w:val="F55CDB9C"/>
    <w:rsid w:val="F57FA268"/>
    <w:rsid w:val="F5B0FC3B"/>
    <w:rsid w:val="F67E82A4"/>
    <w:rsid w:val="F73FDC34"/>
    <w:rsid w:val="F7BEEE67"/>
    <w:rsid w:val="F7FE0F10"/>
    <w:rsid w:val="F7FF3ACB"/>
    <w:rsid w:val="F96EDD6A"/>
    <w:rsid w:val="F9DFE863"/>
    <w:rsid w:val="FA9FA113"/>
    <w:rsid w:val="FBF957BF"/>
    <w:rsid w:val="FC9FCB92"/>
    <w:rsid w:val="FCED4C8D"/>
    <w:rsid w:val="FDADC187"/>
    <w:rsid w:val="FDAF1D16"/>
    <w:rsid w:val="FDBF0B7F"/>
    <w:rsid w:val="FDDB38E7"/>
    <w:rsid w:val="FDF90583"/>
    <w:rsid w:val="FDFE8D86"/>
    <w:rsid w:val="FDFFFA3E"/>
    <w:rsid w:val="FE3B477D"/>
    <w:rsid w:val="FEBF33A2"/>
    <w:rsid w:val="FEE7683A"/>
    <w:rsid w:val="FEE76D8E"/>
    <w:rsid w:val="FEF7E22D"/>
    <w:rsid w:val="FEFD757F"/>
    <w:rsid w:val="FEFF93E2"/>
    <w:rsid w:val="FFBB6390"/>
    <w:rsid w:val="FFD56938"/>
    <w:rsid w:val="FFE7289A"/>
    <w:rsid w:val="FFFF1233"/>
    <w:rsid w:val="FFFF8317"/>
    <w:rsid w:val="FFFFA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autoRedefine/>
    <w:qFormat/>
    <w:uiPriority w:val="0"/>
    <w:pPr>
      <w:keepNext/>
      <w:keepLines/>
      <w:spacing w:before="240" w:after="64" w:line="320" w:lineRule="auto"/>
      <w:outlineLvl w:val="5"/>
    </w:pPr>
    <w:rPr>
      <w:rFonts w:ascii="Arial" w:hAnsi="Arial" w:eastAsia="黑体" w:cs="Times New Roman"/>
      <w:b/>
      <w:bCs/>
      <w:sz w:val="24"/>
    </w:rPr>
  </w:style>
  <w:style w:type="paragraph" w:styleId="8">
    <w:name w:val="heading 7"/>
    <w:basedOn w:val="1"/>
    <w:next w:val="1"/>
    <w:qFormat/>
    <w:uiPriority w:val="0"/>
    <w:pPr>
      <w:keepNext/>
      <w:keepLines/>
      <w:spacing w:before="240" w:after="64" w:line="320" w:lineRule="auto"/>
      <w:outlineLvl w:val="6"/>
    </w:pPr>
    <w:rPr>
      <w:rFonts w:ascii="Times New Roman" w:hAnsi="Times New Roman" w:eastAsia="宋体" w:cs="Times New Roman"/>
      <w:b/>
      <w:bCs/>
      <w:sz w:val="24"/>
    </w:rPr>
  </w:style>
  <w:style w:type="paragraph" w:styleId="9">
    <w:name w:val="heading 8"/>
    <w:basedOn w:val="1"/>
    <w:next w:val="1"/>
    <w:autoRedefine/>
    <w:qFormat/>
    <w:uiPriority w:val="0"/>
    <w:pPr>
      <w:keepNext/>
      <w:keepLines/>
      <w:spacing w:before="240" w:after="64" w:line="320" w:lineRule="auto"/>
      <w:outlineLvl w:val="7"/>
    </w:pPr>
    <w:rPr>
      <w:rFonts w:ascii="Arial" w:hAnsi="Arial" w:eastAsia="黑体" w:cs="Times New Roman"/>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cs="Times New Roman"/>
      <w:szCs w:val="21"/>
    </w:rPr>
  </w:style>
  <w:style w:type="character" w:default="1" w:styleId="40">
    <w:name w:val="Default Paragraph Font"/>
    <w:autoRedefine/>
    <w:qFormat/>
    <w:uiPriority w:val="0"/>
    <w:rPr>
      <w:rFonts w:ascii="Times New Roman" w:hAnsi="Times New Roman" w:eastAsia="宋体" w:cs="Times New Roman"/>
    </w:rPr>
  </w:style>
  <w:style w:type="table" w:default="1" w:styleId="38">
    <w:name w:val="Normal Table"/>
    <w:autoRedefin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11">
    <w:name w:val="toc 7"/>
    <w:basedOn w:val="12"/>
    <w:next w:val="1"/>
    <w:qFormat/>
    <w:uiPriority w:val="0"/>
    <w:rPr>
      <w:rFonts w:ascii="Times New Roman" w:hAnsi="Times New Roman" w:eastAsia="宋体" w:cs="Times New Roman"/>
    </w:rPr>
  </w:style>
  <w:style w:type="paragraph" w:styleId="12">
    <w:name w:val="toc 6"/>
    <w:basedOn w:val="13"/>
    <w:next w:val="1"/>
    <w:autoRedefine/>
    <w:qFormat/>
    <w:uiPriority w:val="0"/>
    <w:rPr>
      <w:rFonts w:ascii="Times New Roman" w:hAnsi="Times New Roman" w:eastAsia="宋体" w:cs="Times New Roman"/>
    </w:rPr>
  </w:style>
  <w:style w:type="paragraph" w:styleId="13">
    <w:name w:val="toc 5"/>
    <w:basedOn w:val="14"/>
    <w:next w:val="1"/>
    <w:autoRedefine/>
    <w:qFormat/>
    <w:uiPriority w:val="0"/>
    <w:rPr>
      <w:rFonts w:ascii="Times New Roman" w:hAnsi="Times New Roman" w:eastAsia="宋体" w:cs="Times New Roman"/>
    </w:rPr>
  </w:style>
  <w:style w:type="paragraph" w:styleId="14">
    <w:name w:val="toc 4"/>
    <w:basedOn w:val="15"/>
    <w:next w:val="1"/>
    <w:autoRedefine/>
    <w:qFormat/>
    <w:uiPriority w:val="0"/>
    <w:rPr>
      <w:rFonts w:ascii="Times New Roman" w:hAnsi="Times New Roman" w:eastAsia="宋体" w:cs="Times New Roman"/>
    </w:rPr>
  </w:style>
  <w:style w:type="paragraph" w:styleId="15">
    <w:name w:val="toc 3"/>
    <w:basedOn w:val="1"/>
    <w:next w:val="1"/>
    <w:qFormat/>
    <w:uiPriority w:val="0"/>
    <w:rPr>
      <w:rFonts w:ascii="Times New Roman" w:hAnsi="Times New Roman" w:eastAsia="宋体" w:cs="Times New Roman"/>
    </w:rPr>
  </w:style>
  <w:style w:type="paragraph" w:styleId="16">
    <w:name w:val="Normal Indent"/>
    <w:basedOn w:val="1"/>
    <w:autoRedefine/>
    <w:qFormat/>
    <w:uiPriority w:val="0"/>
    <w:pPr>
      <w:ind w:firstLine="420"/>
    </w:pPr>
    <w:rPr>
      <w:rFonts w:ascii="Times New Roman" w:hAnsi="Times New Roman" w:eastAsia="宋体" w:cs="Times New Roman"/>
      <w:szCs w:val="20"/>
    </w:rPr>
  </w:style>
  <w:style w:type="paragraph" w:styleId="17">
    <w:name w:val="caption"/>
    <w:basedOn w:val="1"/>
    <w:next w:val="1"/>
    <w:autoRedefine/>
    <w:qFormat/>
    <w:uiPriority w:val="0"/>
    <w:rPr>
      <w:rFonts w:ascii="Times New Roman" w:hAnsi="Times New Roman" w:eastAsia="宋体" w:cs="Times New Roman"/>
      <w:b/>
      <w:bCs/>
      <w:szCs w:val="24"/>
    </w:rPr>
  </w:style>
  <w:style w:type="paragraph" w:styleId="18">
    <w:name w:val="Document Map"/>
    <w:basedOn w:val="1"/>
    <w:autoRedefine/>
    <w:qFormat/>
    <w:uiPriority w:val="0"/>
    <w:pPr>
      <w:shd w:val="clear" w:color="auto" w:fill="000080"/>
    </w:pPr>
    <w:rPr>
      <w:rFonts w:ascii="Times New Roman" w:hAnsi="Times New Roman" w:eastAsia="宋体" w:cs="Times New Roman"/>
    </w:rPr>
  </w:style>
  <w:style w:type="paragraph" w:styleId="19">
    <w:name w:val="annotation text"/>
    <w:basedOn w:val="1"/>
    <w:autoRedefine/>
    <w:qFormat/>
    <w:uiPriority w:val="0"/>
    <w:pPr>
      <w:jc w:val="left"/>
    </w:pPr>
    <w:rPr>
      <w:rFonts w:ascii="Times New Roman" w:hAnsi="Times New Roman" w:eastAsia="宋体" w:cs="Times New Roman"/>
    </w:rPr>
  </w:style>
  <w:style w:type="paragraph" w:styleId="20">
    <w:name w:val="Body Text"/>
    <w:basedOn w:val="1"/>
    <w:next w:val="1"/>
    <w:autoRedefine/>
    <w:qFormat/>
    <w:uiPriority w:val="0"/>
    <w:pPr>
      <w:spacing w:after="120"/>
    </w:pPr>
    <w:rPr>
      <w:rFonts w:ascii="Times New Roman" w:hAnsi="Times New Roman" w:eastAsia="宋体" w:cs="Times New Roman"/>
    </w:rPr>
  </w:style>
  <w:style w:type="paragraph" w:styleId="21">
    <w:name w:val="Body Text Indent"/>
    <w:basedOn w:val="1"/>
    <w:autoRedefine/>
    <w:qFormat/>
    <w:uiPriority w:val="0"/>
    <w:pPr>
      <w:ind w:firstLine="420" w:firstLineChars="200"/>
    </w:pPr>
    <w:rPr>
      <w:rFonts w:ascii="Times New Roman" w:hAnsi="Times New Roman" w:eastAsia="宋体" w:cs="Times New Roman"/>
    </w:rPr>
  </w:style>
  <w:style w:type="paragraph" w:styleId="22">
    <w:name w:val="HTML Address"/>
    <w:basedOn w:val="1"/>
    <w:autoRedefine/>
    <w:qFormat/>
    <w:uiPriority w:val="0"/>
    <w:rPr>
      <w:rFonts w:ascii="Times New Roman" w:hAnsi="Times New Roman" w:eastAsia="宋体" w:cs="Times New Roman"/>
      <w:i/>
      <w:iCs/>
    </w:rPr>
  </w:style>
  <w:style w:type="paragraph" w:styleId="23">
    <w:name w:val="Plain Text"/>
    <w:basedOn w:val="1"/>
    <w:autoRedefine/>
    <w:qFormat/>
    <w:uiPriority w:val="0"/>
    <w:rPr>
      <w:rFonts w:ascii="宋体" w:hAnsi="Courier New" w:eastAsia="宋体" w:cs="Times New Roman"/>
    </w:rPr>
  </w:style>
  <w:style w:type="paragraph" w:styleId="24">
    <w:name w:val="toc 8"/>
    <w:basedOn w:val="11"/>
    <w:next w:val="1"/>
    <w:autoRedefine/>
    <w:qFormat/>
    <w:uiPriority w:val="0"/>
    <w:rPr>
      <w:rFonts w:ascii="Times New Roman" w:hAnsi="Times New Roman" w:eastAsia="宋体" w:cs="Times New Roman"/>
    </w:rPr>
  </w:style>
  <w:style w:type="paragraph" w:styleId="25">
    <w:name w:val="Date"/>
    <w:basedOn w:val="1"/>
    <w:next w:val="1"/>
    <w:autoRedefine/>
    <w:qFormat/>
    <w:uiPriority w:val="0"/>
    <w:pPr>
      <w:ind w:left="100" w:leftChars="2500"/>
    </w:pPr>
    <w:rPr>
      <w:rFonts w:ascii="Times New Roman" w:hAnsi="Times New Roman" w:eastAsia="宋体" w:cs="Times New Roman"/>
      <w:szCs w:val="24"/>
    </w:rPr>
  </w:style>
  <w:style w:type="paragraph" w:styleId="26">
    <w:name w:val="Balloon Text"/>
    <w:basedOn w:val="1"/>
    <w:autoRedefine/>
    <w:qFormat/>
    <w:uiPriority w:val="0"/>
    <w:rPr>
      <w:rFonts w:ascii="Times New Roman" w:hAnsi="Times New Roman" w:eastAsia="宋体" w:cs="Times New Roman"/>
      <w:sz w:val="18"/>
      <w:szCs w:val="18"/>
    </w:rPr>
  </w:style>
  <w:style w:type="paragraph" w:styleId="27">
    <w:name w:val="footer"/>
    <w:basedOn w:val="1"/>
    <w:autoRedefine/>
    <w:qFormat/>
    <w:uiPriority w:val="0"/>
    <w:pPr>
      <w:tabs>
        <w:tab w:val="center" w:pos="4153"/>
        <w:tab w:val="right" w:pos="8306"/>
      </w:tabs>
      <w:snapToGrid w:val="0"/>
      <w:ind w:right="210" w:rightChars="100"/>
      <w:jc w:val="right"/>
    </w:pPr>
    <w:rPr>
      <w:rFonts w:ascii="Times New Roman" w:hAnsi="Times New Roman" w:eastAsia="宋体" w:cs="Times New Roman"/>
      <w:sz w:val="18"/>
      <w:szCs w:val="18"/>
    </w:rPr>
  </w:style>
  <w:style w:type="paragraph" w:styleId="28">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9">
    <w:name w:val="toc 1"/>
    <w:basedOn w:val="1"/>
    <w:next w:val="1"/>
    <w:autoRedefine/>
    <w:qFormat/>
    <w:uiPriority w:val="0"/>
    <w:pPr>
      <w:jc w:val="both"/>
    </w:pPr>
    <w:rPr>
      <w:rFonts w:ascii="宋体" w:hAnsi="Times New Roman" w:eastAsia="宋体" w:cs="Times New Roman"/>
      <w:sz w:val="21"/>
      <w:lang w:val="en-US" w:eastAsia="zh-CN" w:bidi="ar-SA"/>
    </w:rPr>
  </w:style>
  <w:style w:type="paragraph" w:styleId="30">
    <w:name w:val="footnote text"/>
    <w:basedOn w:val="1"/>
    <w:autoRedefine/>
    <w:qFormat/>
    <w:uiPriority w:val="0"/>
    <w:pPr>
      <w:snapToGrid w:val="0"/>
      <w:jc w:val="left"/>
    </w:pPr>
    <w:rPr>
      <w:rFonts w:ascii="Times New Roman" w:hAnsi="Times New Roman" w:eastAsia="宋体" w:cs="Times New Roman"/>
      <w:sz w:val="18"/>
      <w:szCs w:val="18"/>
    </w:rPr>
  </w:style>
  <w:style w:type="paragraph" w:styleId="31">
    <w:name w:val="Body Text Indent 3"/>
    <w:basedOn w:val="1"/>
    <w:autoRedefine/>
    <w:qFormat/>
    <w:uiPriority w:val="0"/>
    <w:pPr>
      <w:spacing w:after="120"/>
      <w:ind w:left="420" w:leftChars="200"/>
    </w:pPr>
    <w:rPr>
      <w:rFonts w:ascii="Times New Roman" w:hAnsi="Times New Roman" w:eastAsia="宋体" w:cs="Times New Roman"/>
      <w:sz w:val="16"/>
      <w:szCs w:val="16"/>
    </w:rPr>
  </w:style>
  <w:style w:type="paragraph" w:styleId="32">
    <w:name w:val="toc 2"/>
    <w:basedOn w:val="29"/>
    <w:next w:val="1"/>
    <w:autoRedefine/>
    <w:qFormat/>
    <w:uiPriority w:val="0"/>
    <w:rPr>
      <w:rFonts w:ascii="Times New Roman" w:hAnsi="Times New Roman" w:eastAsia="宋体" w:cs="Times New Roman"/>
    </w:rPr>
  </w:style>
  <w:style w:type="paragraph" w:styleId="33">
    <w:name w:val="toc 9"/>
    <w:basedOn w:val="24"/>
    <w:next w:val="1"/>
    <w:autoRedefine/>
    <w:qFormat/>
    <w:uiPriority w:val="0"/>
    <w:rPr>
      <w:rFonts w:ascii="Times New Roman" w:hAnsi="Times New Roman" w:eastAsia="宋体" w:cs="Times New Roman"/>
    </w:rPr>
  </w:style>
  <w:style w:type="paragraph" w:styleId="34">
    <w:name w:val="HTML Preformatted"/>
    <w:basedOn w:val="1"/>
    <w:autoRedefine/>
    <w:qFormat/>
    <w:uiPriority w:val="0"/>
    <w:rPr>
      <w:rFonts w:ascii="Courier New" w:hAnsi="Courier New" w:eastAsia="宋体" w:cs="Courier New"/>
      <w:sz w:val="20"/>
      <w:szCs w:val="20"/>
    </w:rPr>
  </w:style>
  <w:style w:type="paragraph" w:styleId="35">
    <w:name w:val="Normal (Web)"/>
    <w:basedOn w:val="1"/>
    <w:autoRedefine/>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36">
    <w:name w:val="Title"/>
    <w:basedOn w:val="1"/>
    <w:autoRedefine/>
    <w:qFormat/>
    <w:uiPriority w:val="0"/>
    <w:pPr>
      <w:spacing w:before="240" w:after="60"/>
      <w:jc w:val="center"/>
      <w:outlineLvl w:val="0"/>
    </w:pPr>
    <w:rPr>
      <w:rFonts w:ascii="Arial" w:hAnsi="Arial" w:eastAsia="宋体" w:cs="Arial"/>
      <w:b/>
      <w:bCs/>
      <w:sz w:val="32"/>
      <w:szCs w:val="32"/>
    </w:rPr>
  </w:style>
  <w:style w:type="paragraph" w:styleId="37">
    <w:name w:val="annotation subject"/>
    <w:basedOn w:val="19"/>
    <w:next w:val="19"/>
    <w:autoRedefine/>
    <w:qFormat/>
    <w:uiPriority w:val="0"/>
    <w:rPr>
      <w:rFonts w:ascii="Times New Roman" w:hAnsi="Times New Roman" w:eastAsia="宋体" w:cs="Times New Roman"/>
      <w:b/>
      <w:bCs/>
    </w:rPr>
  </w:style>
  <w:style w:type="table" w:styleId="39">
    <w:name w:val="Table Grid"/>
    <w:basedOn w:val="3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autoRedefine/>
    <w:qFormat/>
    <w:uiPriority w:val="0"/>
    <w:rPr>
      <w:rFonts w:ascii="Times New Roman" w:hAnsi="Times New Roman" w:eastAsia="宋体" w:cs="Times New Roman"/>
      <w:b/>
      <w:bCs/>
    </w:rPr>
  </w:style>
  <w:style w:type="character" w:styleId="42">
    <w:name w:val="page number"/>
    <w:autoRedefine/>
    <w:qFormat/>
    <w:uiPriority w:val="0"/>
    <w:rPr>
      <w:rFonts w:ascii="Times New Roman" w:hAnsi="Times New Roman" w:eastAsia="宋体" w:cs="Times New Roman"/>
      <w:sz w:val="18"/>
    </w:rPr>
  </w:style>
  <w:style w:type="character" w:styleId="43">
    <w:name w:val="Emphasis"/>
    <w:autoRedefine/>
    <w:qFormat/>
    <w:uiPriority w:val="0"/>
    <w:rPr>
      <w:rFonts w:ascii="Times New Roman" w:hAnsi="Times New Roman" w:eastAsia="宋体" w:cs="Times New Roman"/>
      <w:color w:val="CC0033"/>
    </w:rPr>
  </w:style>
  <w:style w:type="character" w:styleId="44">
    <w:name w:val="HTML Definition"/>
    <w:autoRedefine/>
    <w:qFormat/>
    <w:uiPriority w:val="0"/>
    <w:rPr>
      <w:rFonts w:ascii="Times New Roman" w:hAnsi="Times New Roman" w:eastAsia="宋体" w:cs="Times New Roman"/>
      <w:i/>
      <w:iCs/>
    </w:rPr>
  </w:style>
  <w:style w:type="character" w:styleId="45">
    <w:name w:val="HTML Typewriter"/>
    <w:autoRedefine/>
    <w:qFormat/>
    <w:uiPriority w:val="0"/>
    <w:rPr>
      <w:rFonts w:ascii="Courier New" w:hAnsi="Courier New" w:eastAsia="宋体" w:cs="Times New Roman"/>
      <w:sz w:val="20"/>
      <w:szCs w:val="20"/>
    </w:rPr>
  </w:style>
  <w:style w:type="character" w:styleId="46">
    <w:name w:val="HTML Acronym"/>
    <w:basedOn w:val="40"/>
    <w:autoRedefine/>
    <w:qFormat/>
    <w:uiPriority w:val="0"/>
    <w:rPr>
      <w:rFonts w:ascii="Times New Roman" w:hAnsi="Times New Roman" w:eastAsia="宋体" w:cs="Times New Roman"/>
    </w:rPr>
  </w:style>
  <w:style w:type="character" w:styleId="47">
    <w:name w:val="HTML Variable"/>
    <w:autoRedefine/>
    <w:qFormat/>
    <w:uiPriority w:val="0"/>
    <w:rPr>
      <w:rFonts w:ascii="Times New Roman" w:hAnsi="Times New Roman" w:eastAsia="宋体" w:cs="Times New Roman"/>
      <w:i/>
      <w:iCs/>
    </w:rPr>
  </w:style>
  <w:style w:type="character" w:styleId="48">
    <w:name w:val="Hyperlink"/>
    <w:autoRedefine/>
    <w:qFormat/>
    <w:uiPriority w:val="0"/>
    <w:rPr>
      <w:rFonts w:ascii="Times New Roman" w:hAnsi="Times New Roman" w:eastAsia="宋体" w:cs="Times New Roman"/>
      <w:color w:val="auto"/>
      <w:spacing w:val="0"/>
      <w:w w:val="100"/>
      <w:position w:val="0"/>
      <w:sz w:val="21"/>
      <w:u w:val="none"/>
      <w:vertAlign w:val="baseline"/>
    </w:rPr>
  </w:style>
  <w:style w:type="character" w:styleId="49">
    <w:name w:val="HTML Code"/>
    <w:autoRedefine/>
    <w:qFormat/>
    <w:uiPriority w:val="0"/>
    <w:rPr>
      <w:rFonts w:ascii="Courier New" w:hAnsi="Courier New" w:eastAsia="宋体" w:cs="Times New Roman"/>
      <w:sz w:val="20"/>
      <w:szCs w:val="20"/>
    </w:rPr>
  </w:style>
  <w:style w:type="character" w:styleId="50">
    <w:name w:val="annotation reference"/>
    <w:autoRedefine/>
    <w:qFormat/>
    <w:uiPriority w:val="0"/>
    <w:rPr>
      <w:rFonts w:ascii="Times New Roman" w:hAnsi="Times New Roman" w:eastAsia="宋体" w:cs="Times New Roman"/>
      <w:sz w:val="21"/>
      <w:szCs w:val="21"/>
    </w:rPr>
  </w:style>
  <w:style w:type="character" w:styleId="51">
    <w:name w:val="HTML Cite"/>
    <w:autoRedefine/>
    <w:qFormat/>
    <w:uiPriority w:val="0"/>
    <w:rPr>
      <w:rFonts w:ascii="Times New Roman" w:hAnsi="Times New Roman" w:eastAsia="宋体" w:cs="Times New Roman"/>
      <w:i/>
      <w:iCs/>
    </w:rPr>
  </w:style>
  <w:style w:type="character" w:styleId="52">
    <w:name w:val="footnote reference"/>
    <w:autoRedefine/>
    <w:qFormat/>
    <w:uiPriority w:val="0"/>
    <w:rPr>
      <w:rFonts w:ascii="Times New Roman" w:hAnsi="Times New Roman" w:eastAsia="宋体" w:cs="Times New Roman"/>
      <w:vertAlign w:val="superscript"/>
    </w:rPr>
  </w:style>
  <w:style w:type="character" w:styleId="53">
    <w:name w:val="HTML Keyboard"/>
    <w:autoRedefine/>
    <w:qFormat/>
    <w:uiPriority w:val="0"/>
    <w:rPr>
      <w:rFonts w:ascii="Courier New" w:hAnsi="Courier New" w:eastAsia="宋体" w:cs="Times New Roman"/>
      <w:sz w:val="20"/>
      <w:szCs w:val="20"/>
    </w:rPr>
  </w:style>
  <w:style w:type="character" w:styleId="54">
    <w:name w:val="HTML Sample"/>
    <w:autoRedefine/>
    <w:qFormat/>
    <w:uiPriority w:val="0"/>
    <w:rPr>
      <w:rFonts w:ascii="Courier New" w:hAnsi="Courier New" w:eastAsia="宋体" w:cs="Times New Roman"/>
    </w:rPr>
  </w:style>
  <w:style w:type="paragraph" w:customStyle="1" w:styleId="55">
    <w:name w:val="标准书眉一"/>
    <w:autoRedefine/>
    <w:qFormat/>
    <w:uiPriority w:val="0"/>
    <w:pPr>
      <w:jc w:val="both"/>
    </w:pPr>
    <w:rPr>
      <w:rFonts w:ascii="Times New Roman" w:hAnsi="Times New Roman" w:eastAsia="宋体" w:cs="Times New Roman"/>
      <w:lang w:val="en-US" w:eastAsia="zh-CN" w:bidi="ar-SA"/>
    </w:rPr>
  </w:style>
  <w:style w:type="paragraph" w:customStyle="1" w:styleId="56">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57">
    <w:name w:val="封面正文"/>
    <w:autoRedefine/>
    <w:qFormat/>
    <w:uiPriority w:val="0"/>
    <w:pPr>
      <w:jc w:val="both"/>
    </w:pPr>
    <w:rPr>
      <w:rFonts w:ascii="Times New Roman" w:hAnsi="Times New Roman" w:eastAsia="宋体" w:cs="Times New Roman"/>
      <w:lang w:val="en-US" w:eastAsia="zh-CN" w:bidi="ar-SA"/>
    </w:rPr>
  </w:style>
  <w:style w:type="paragraph" w:customStyle="1" w:styleId="58">
    <w:name w:val="前言、引言标题"/>
    <w:next w:val="1"/>
    <w:autoRedefine/>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目次、标准名称标题"/>
    <w:basedOn w:val="58"/>
    <w:next w:val="59"/>
    <w:autoRedefine/>
    <w:qFormat/>
    <w:uiPriority w:val="0"/>
    <w:pPr>
      <w:numPr>
        <w:ilvl w:val="0"/>
        <w:numId w:val="0"/>
      </w:numPr>
      <w:spacing w:line="460" w:lineRule="exact"/>
    </w:pPr>
    <w:rPr>
      <w:rFonts w:ascii="Times New Roman" w:hAnsi="Times New Roman" w:eastAsia="宋体" w:cs="Times New Roman"/>
    </w:rPr>
  </w:style>
  <w:style w:type="paragraph" w:customStyle="1" w:styleId="61">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章标题"/>
    <w:next w:val="59"/>
    <w:autoRedefine/>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63">
    <w:name w:val="一级条标题"/>
    <w:next w:val="59"/>
    <w:link w:val="64"/>
    <w:autoRedefine/>
    <w:qFormat/>
    <w:uiPriority w:val="0"/>
    <w:pPr>
      <w:numPr>
        <w:ilvl w:val="2"/>
        <w:numId w:val="1"/>
      </w:numPr>
      <w:outlineLvl w:val="2"/>
    </w:pPr>
    <w:rPr>
      <w:rFonts w:ascii="Times New Roman" w:hAnsi="Times New Roman" w:eastAsia="黑体" w:cs="Times New Roman"/>
      <w:sz w:val="21"/>
      <w:lang w:val="en-US" w:eastAsia="zh-CN" w:bidi="ar-SA"/>
    </w:rPr>
  </w:style>
  <w:style w:type="character" w:customStyle="1" w:styleId="64">
    <w:name w:val="一级条标题 Char"/>
    <w:link w:val="63"/>
    <w:autoRedefine/>
    <w:qFormat/>
    <w:uiPriority w:val="0"/>
    <w:rPr>
      <w:rFonts w:ascii="Times New Roman" w:hAnsi="Times New Roman" w:eastAsia="黑体" w:cs="Times New Roman"/>
      <w:sz w:val="21"/>
      <w:lang w:val="en-US" w:eastAsia="zh-CN" w:bidi="ar-SA"/>
    </w:rPr>
  </w:style>
  <w:style w:type="paragraph" w:customStyle="1" w:styleId="65">
    <w:name w:val="发布部门"/>
    <w:next w:val="59"/>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6">
    <w:name w:val="其他发布部门"/>
    <w:basedOn w:val="65"/>
    <w:autoRedefine/>
    <w:qFormat/>
    <w:uiPriority w:val="0"/>
    <w:pPr>
      <w:spacing w:line="0" w:lineRule="atLeast"/>
    </w:pPr>
    <w:rPr>
      <w:rFonts w:ascii="黑体" w:hAnsi="Times New Roman" w:eastAsia="黑体" w:cs="Times New Roman"/>
      <w:b w:val="0"/>
    </w:rPr>
  </w:style>
  <w:style w:type="paragraph" w:customStyle="1" w:styleId="67">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8">
    <w:name w:val="实施日期"/>
    <w:basedOn w:val="67"/>
    <w:autoRedefine/>
    <w:qFormat/>
    <w:uiPriority w:val="0"/>
    <w:pPr>
      <w:framePr w:hSpace="0" w:xAlign="right"/>
      <w:numPr>
        <w:ilvl w:val="4"/>
        <w:numId w:val="1"/>
      </w:numPr>
      <w:jc w:val="right"/>
    </w:pPr>
    <w:rPr>
      <w:rFonts w:ascii="Times New Roman" w:hAnsi="Times New Roman" w:eastAsia="宋体" w:cs="Times New Roman"/>
    </w:rPr>
  </w:style>
  <w:style w:type="paragraph" w:customStyle="1" w:styleId="69">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0">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1">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72">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character" w:customStyle="1" w:styleId="73">
    <w:name w:val="发布"/>
    <w:autoRedefine/>
    <w:qFormat/>
    <w:uiPriority w:val="0"/>
    <w:rPr>
      <w:rFonts w:ascii="黑体" w:hAnsi="Times New Roman" w:eastAsia="黑体" w:cs="Times New Roman"/>
      <w:spacing w:val="22"/>
      <w:w w:val="100"/>
      <w:position w:val="3"/>
      <w:sz w:val="28"/>
    </w:rPr>
  </w:style>
  <w:style w:type="character" w:customStyle="1" w:styleId="74">
    <w:name w:val="个人撰写风格"/>
    <w:autoRedefine/>
    <w:qFormat/>
    <w:uiPriority w:val="0"/>
    <w:rPr>
      <w:rFonts w:ascii="Arial" w:hAnsi="Arial" w:eastAsia="宋体" w:cs="Arial"/>
      <w:color w:val="auto"/>
      <w:sz w:val="20"/>
    </w:rPr>
  </w:style>
  <w:style w:type="character" w:customStyle="1" w:styleId="75">
    <w:name w:val="一级无标题条 Char"/>
    <w:link w:val="76"/>
    <w:autoRedefine/>
    <w:qFormat/>
    <w:uiPriority w:val="0"/>
    <w:rPr>
      <w:rFonts w:ascii="Times New Roman" w:hAnsi="Times New Roman" w:eastAsia="宋体" w:cs="Times New Roman"/>
      <w:kern w:val="2"/>
      <w:sz w:val="21"/>
      <w:szCs w:val="24"/>
      <w:lang w:val="en-US" w:eastAsia="zh-CN" w:bidi="ar-SA"/>
    </w:rPr>
  </w:style>
  <w:style w:type="paragraph" w:customStyle="1" w:styleId="76">
    <w:name w:val="一级无标题条"/>
    <w:basedOn w:val="1"/>
    <w:link w:val="75"/>
    <w:autoRedefine/>
    <w:qFormat/>
    <w:uiPriority w:val="0"/>
    <w:pPr>
      <w:numPr>
        <w:ilvl w:val="2"/>
        <w:numId w:val="2"/>
      </w:numPr>
    </w:pPr>
    <w:rPr>
      <w:rFonts w:ascii="Times New Roman" w:hAnsi="Times New Roman" w:eastAsia="宋体" w:cs="Times New Roman"/>
      <w:szCs w:val="24"/>
    </w:rPr>
  </w:style>
  <w:style w:type="character" w:customStyle="1" w:styleId="77">
    <w:name w:val="二级条标题 Char"/>
    <w:basedOn w:val="64"/>
    <w:link w:val="78"/>
    <w:autoRedefine/>
    <w:qFormat/>
    <w:uiPriority w:val="0"/>
    <w:rPr>
      <w:rFonts w:ascii="Times New Roman" w:hAnsi="Times New Roman" w:eastAsia="宋体" w:cs="Times New Roman"/>
    </w:rPr>
  </w:style>
  <w:style w:type="paragraph" w:customStyle="1" w:styleId="78">
    <w:name w:val="二级条标题"/>
    <w:basedOn w:val="63"/>
    <w:next w:val="59"/>
    <w:link w:val="77"/>
    <w:autoRedefine/>
    <w:qFormat/>
    <w:uiPriority w:val="0"/>
    <w:pPr>
      <w:numPr>
        <w:ilvl w:val="3"/>
        <w:numId w:val="1"/>
      </w:numPr>
      <w:outlineLvl w:val="3"/>
    </w:pPr>
    <w:rPr>
      <w:rFonts w:ascii="Times New Roman" w:hAnsi="Times New Roman" w:eastAsia="宋体" w:cs="Times New Roman"/>
    </w:rPr>
  </w:style>
  <w:style w:type="character" w:customStyle="1" w:styleId="79">
    <w:name w:val="个人答复风格"/>
    <w:autoRedefine/>
    <w:qFormat/>
    <w:uiPriority w:val="0"/>
    <w:rPr>
      <w:rFonts w:ascii="Arial" w:hAnsi="Arial" w:eastAsia="宋体" w:cs="Arial"/>
      <w:color w:val="auto"/>
      <w:sz w:val="20"/>
    </w:rPr>
  </w:style>
  <w:style w:type="paragraph" w:customStyle="1" w:styleId="80">
    <w:name w:val="二级无标题条"/>
    <w:basedOn w:val="1"/>
    <w:autoRedefine/>
    <w:qFormat/>
    <w:uiPriority w:val="0"/>
    <w:pPr>
      <w:numPr>
        <w:ilvl w:val="3"/>
        <w:numId w:val="2"/>
      </w:numPr>
    </w:pPr>
    <w:rPr>
      <w:rFonts w:ascii="Times New Roman" w:hAnsi="Times New Roman" w:eastAsia="宋体" w:cs="Times New Roman"/>
      <w:szCs w:val="24"/>
    </w:rPr>
  </w:style>
  <w:style w:type="paragraph" w:customStyle="1" w:styleId="81">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2">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3">
    <w:name w:val="封面标准号2"/>
    <w:basedOn w:val="82"/>
    <w:autoRedefine/>
    <w:qFormat/>
    <w:uiPriority w:val="0"/>
    <w:pPr>
      <w:framePr w:w="9138" w:h="1244" w:hRule="exact" w:wrap="around" w:vAnchor="page" w:hAnchor="margin" w:y="2908"/>
      <w:adjustRightInd w:val="0"/>
      <w:spacing w:before="357" w:line="280" w:lineRule="exact"/>
    </w:pPr>
    <w:rPr>
      <w:rFonts w:ascii="Times New Roman" w:hAnsi="Times New Roman" w:eastAsia="宋体" w:cs="Times New Roman"/>
    </w:rPr>
  </w:style>
  <w:style w:type="paragraph" w:customStyle="1" w:styleId="84">
    <w:name w:val="封面标准代替信息"/>
    <w:basedOn w:val="83"/>
    <w:autoRedefine/>
    <w:qFormat/>
    <w:uiPriority w:val="0"/>
    <w:pPr>
      <w:spacing w:before="57"/>
    </w:pPr>
    <w:rPr>
      <w:rFonts w:ascii="宋体" w:hAnsi="Times New Roman" w:eastAsia="宋体" w:cs="Times New Roman"/>
      <w:sz w:val="21"/>
    </w:rPr>
  </w:style>
  <w:style w:type="paragraph" w:customStyle="1" w:styleId="85">
    <w:name w:val="四级无标题条"/>
    <w:basedOn w:val="1"/>
    <w:autoRedefine/>
    <w:qFormat/>
    <w:uiPriority w:val="0"/>
    <w:pPr>
      <w:numPr>
        <w:ilvl w:val="5"/>
        <w:numId w:val="2"/>
      </w:numPr>
    </w:pPr>
    <w:rPr>
      <w:rFonts w:ascii="Times New Roman" w:hAnsi="Times New Roman" w:eastAsia="宋体" w:cs="Times New Roman"/>
      <w:szCs w:val="24"/>
    </w:rPr>
  </w:style>
  <w:style w:type="paragraph" w:customStyle="1" w:styleId="86">
    <w:name w:val="列项——（一级）"/>
    <w:autoRedefine/>
    <w:qFormat/>
    <w:uiPriority w:val="0"/>
    <w:pPr>
      <w:widowControl w:val="0"/>
      <w:numPr>
        <w:ilvl w:val="0"/>
        <w:numId w:val="3"/>
      </w:numPr>
      <w:tabs>
        <w:tab w:val="left" w:pos="854"/>
        <w:tab w:val="clear" w:pos="1140"/>
      </w:tabs>
      <w:ind w:leftChars="200" w:hangingChars="200"/>
      <w:jc w:val="both"/>
    </w:pPr>
    <w:rPr>
      <w:rFonts w:ascii="宋体" w:hAnsi="Times New Roman" w:eastAsia="宋体" w:cs="Times New Roman"/>
      <w:sz w:val="21"/>
      <w:lang w:val="en-US" w:eastAsia="zh-CN" w:bidi="ar-SA"/>
    </w:rPr>
  </w:style>
  <w:style w:type="paragraph" w:customStyle="1" w:styleId="87">
    <w:name w:val="列项◆（三级）"/>
    <w:autoRedefine/>
    <w:qFormat/>
    <w:uiPriority w:val="0"/>
    <w:pPr>
      <w:numPr>
        <w:ilvl w:val="0"/>
        <w:numId w:val="4"/>
      </w:numPr>
      <w:ind w:left="800" w:leftChars="600" w:hanging="200" w:hangingChars="200"/>
    </w:pPr>
    <w:rPr>
      <w:rFonts w:ascii="宋体" w:hAnsi="Times New Roman" w:eastAsia="宋体" w:cs="Times New Roman"/>
      <w:sz w:val="21"/>
      <w:lang w:val="en-US" w:eastAsia="zh-CN" w:bidi="ar-SA"/>
    </w:rPr>
  </w:style>
  <w:style w:type="paragraph" w:customStyle="1" w:styleId="88">
    <w:name w:val="附录标识"/>
    <w:basedOn w:val="58"/>
    <w:autoRedefine/>
    <w:qFormat/>
    <w:uiPriority w:val="0"/>
    <w:pPr>
      <w:numPr>
        <w:ilvl w:val="0"/>
        <w:numId w:val="5"/>
      </w:numPr>
      <w:tabs>
        <w:tab w:val="left" w:pos="6405"/>
      </w:tabs>
      <w:spacing w:after="200"/>
    </w:pPr>
    <w:rPr>
      <w:rFonts w:ascii="Times New Roman" w:hAnsi="Times New Roman" w:eastAsia="宋体" w:cs="Times New Roman"/>
      <w:sz w:val="21"/>
    </w:rPr>
  </w:style>
  <w:style w:type="paragraph" w:customStyle="1" w:styleId="8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0">
    <w:name w:val="标准书眉_偶数页"/>
    <w:basedOn w:val="89"/>
    <w:next w:val="1"/>
    <w:autoRedefine/>
    <w:qFormat/>
    <w:uiPriority w:val="0"/>
    <w:pPr>
      <w:jc w:val="left"/>
    </w:pPr>
    <w:rPr>
      <w:rFonts w:ascii="Times New Roman" w:hAnsi="Times New Roman" w:eastAsia="宋体" w:cs="Times New Roman"/>
    </w:rPr>
  </w:style>
  <w:style w:type="paragraph" w:customStyle="1" w:styleId="91">
    <w:name w:val="Default Text"/>
    <w:basedOn w:val="1"/>
    <w:autoRedefine/>
    <w:qFormat/>
    <w:uiPriority w:val="0"/>
    <w:pPr>
      <w:autoSpaceDE w:val="0"/>
      <w:autoSpaceDN w:val="0"/>
      <w:adjustRightInd w:val="0"/>
      <w:jc w:val="left"/>
    </w:pPr>
    <w:rPr>
      <w:rFonts w:ascii="宋体" w:hAnsi="Times New Roman" w:eastAsia="宋体" w:cs="Times New Roman"/>
      <w:kern w:val="0"/>
      <w:sz w:val="24"/>
      <w:szCs w:val="24"/>
    </w:rPr>
  </w:style>
  <w:style w:type="paragraph" w:customStyle="1" w:styleId="92">
    <w:name w:val="正文表标题"/>
    <w:next w:val="59"/>
    <w:autoRedefine/>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3">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94">
    <w:name w:val="示例"/>
    <w:next w:val="59"/>
    <w:autoRedefine/>
    <w:qFormat/>
    <w:uiPriority w:val="0"/>
    <w:pPr>
      <w:numPr>
        <w:ilvl w:val="0"/>
        <w:numId w:val="7"/>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96">
    <w:name w:val="附录章标题"/>
    <w:next w:val="59"/>
    <w:autoRedefine/>
    <w:qFormat/>
    <w:uiPriority w:val="0"/>
    <w:pPr>
      <w:numPr>
        <w:ilvl w:val="1"/>
        <w:numId w:val="5"/>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7">
    <w:name w:val="附录一级条标题"/>
    <w:basedOn w:val="96"/>
    <w:next w:val="59"/>
    <w:autoRedefine/>
    <w:qFormat/>
    <w:uiPriority w:val="0"/>
    <w:pPr>
      <w:numPr>
        <w:ilvl w:val="2"/>
        <w:numId w:val="5"/>
      </w:numPr>
      <w:autoSpaceDN w:val="0"/>
      <w:spacing w:before="0" w:beforeLines="0" w:after="0" w:afterLines="0"/>
      <w:outlineLvl w:val="2"/>
    </w:pPr>
    <w:rPr>
      <w:rFonts w:ascii="Times New Roman" w:hAnsi="Times New Roman" w:eastAsia="宋体" w:cs="Times New Roman"/>
    </w:rPr>
  </w:style>
  <w:style w:type="paragraph" w:customStyle="1" w:styleId="98">
    <w:name w:val="附录二级条标题"/>
    <w:basedOn w:val="97"/>
    <w:next w:val="59"/>
    <w:autoRedefine/>
    <w:qFormat/>
    <w:uiPriority w:val="0"/>
    <w:pPr>
      <w:numPr>
        <w:ilvl w:val="3"/>
        <w:numId w:val="5"/>
      </w:numPr>
      <w:outlineLvl w:val="3"/>
    </w:pPr>
    <w:rPr>
      <w:rFonts w:ascii="Times New Roman" w:hAnsi="Times New Roman" w:eastAsia="宋体" w:cs="Times New Roman"/>
    </w:rPr>
  </w:style>
  <w:style w:type="paragraph" w:customStyle="1" w:styleId="99">
    <w:name w:val="附录三级条标题"/>
    <w:basedOn w:val="98"/>
    <w:next w:val="59"/>
    <w:autoRedefine/>
    <w:qFormat/>
    <w:uiPriority w:val="0"/>
    <w:pPr>
      <w:numPr>
        <w:ilvl w:val="4"/>
        <w:numId w:val="5"/>
      </w:numPr>
      <w:outlineLvl w:val="4"/>
    </w:pPr>
    <w:rPr>
      <w:rFonts w:ascii="Times New Roman" w:hAnsi="Times New Roman" w:eastAsia="宋体" w:cs="Times New Roman"/>
    </w:rPr>
  </w:style>
  <w:style w:type="paragraph" w:customStyle="1" w:styleId="100">
    <w:name w:val="附录四级条标题"/>
    <w:basedOn w:val="99"/>
    <w:next w:val="59"/>
    <w:autoRedefine/>
    <w:qFormat/>
    <w:uiPriority w:val="0"/>
    <w:pPr>
      <w:numPr>
        <w:ilvl w:val="5"/>
        <w:numId w:val="5"/>
      </w:numPr>
      <w:outlineLvl w:val="5"/>
    </w:pPr>
    <w:rPr>
      <w:rFonts w:ascii="Times New Roman" w:hAnsi="Times New Roman" w:eastAsia="宋体" w:cs="Times New Roman"/>
    </w:rPr>
  </w:style>
  <w:style w:type="paragraph" w:customStyle="1" w:styleId="101">
    <w:name w:val="附录五级条标题"/>
    <w:basedOn w:val="100"/>
    <w:next w:val="59"/>
    <w:autoRedefine/>
    <w:qFormat/>
    <w:uiPriority w:val="0"/>
    <w:pPr>
      <w:numPr>
        <w:ilvl w:val="6"/>
        <w:numId w:val="5"/>
      </w:numPr>
      <w:outlineLvl w:val="6"/>
    </w:pPr>
    <w:rPr>
      <w:rFonts w:ascii="Times New Roman" w:hAnsi="Times New Roman" w:eastAsia="宋体" w:cs="Times New Roman"/>
    </w:rPr>
  </w:style>
  <w:style w:type="paragraph" w:customStyle="1" w:styleId="102">
    <w:name w:val="三级条标题"/>
    <w:basedOn w:val="78"/>
    <w:next w:val="59"/>
    <w:autoRedefine/>
    <w:qFormat/>
    <w:uiPriority w:val="0"/>
    <w:pPr>
      <w:numPr>
        <w:ilvl w:val="0"/>
        <w:numId w:val="0"/>
      </w:numPr>
      <w:ind w:left="105"/>
      <w:outlineLvl w:val="4"/>
    </w:pPr>
    <w:rPr>
      <w:rFonts w:ascii="Times New Roman" w:hAnsi="Times New Roman" w:eastAsia="宋体" w:cs="Times New Roman"/>
    </w:rPr>
  </w:style>
  <w:style w:type="paragraph" w:customStyle="1" w:styleId="103">
    <w:name w:val="四级条标题"/>
    <w:basedOn w:val="102"/>
    <w:next w:val="59"/>
    <w:autoRedefine/>
    <w:qFormat/>
    <w:uiPriority w:val="0"/>
    <w:pPr>
      <w:numPr>
        <w:ilvl w:val="5"/>
        <w:numId w:val="1"/>
      </w:numPr>
      <w:outlineLvl w:val="5"/>
    </w:pPr>
    <w:rPr>
      <w:rFonts w:ascii="Times New Roman" w:hAnsi="Times New Roman" w:eastAsia="宋体" w:cs="Times New Roman"/>
    </w:rPr>
  </w:style>
  <w:style w:type="paragraph" w:customStyle="1" w:styleId="104">
    <w:name w:val="五级条标题"/>
    <w:basedOn w:val="103"/>
    <w:next w:val="59"/>
    <w:autoRedefine/>
    <w:qFormat/>
    <w:uiPriority w:val="0"/>
    <w:pPr>
      <w:numPr>
        <w:ilvl w:val="6"/>
        <w:numId w:val="1"/>
      </w:numPr>
      <w:outlineLvl w:val="6"/>
    </w:pPr>
    <w:rPr>
      <w:rFonts w:ascii="Times New Roman" w:hAnsi="Times New Roman" w:eastAsia="宋体" w:cs="Times New Roman"/>
    </w:rPr>
  </w:style>
  <w:style w:type="paragraph" w:customStyle="1" w:styleId="105">
    <w:name w:val="_Style 98"/>
    <w:basedOn w:val="1"/>
    <w:autoRedefine/>
    <w:qFormat/>
    <w:uiPriority w:val="0"/>
    <w:rPr>
      <w:rFonts w:ascii="Times New Roman" w:hAnsi="Times New Roman" w:eastAsia="仿宋_GB2312" w:cs="Times New Roman"/>
      <w:kern w:val="0"/>
      <w:sz w:val="32"/>
      <w:szCs w:val="21"/>
    </w:rPr>
  </w:style>
  <w:style w:type="paragraph" w:customStyle="1" w:styleId="106">
    <w:name w:val="正文图标题"/>
    <w:next w:val="59"/>
    <w:autoRedefine/>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7">
    <w:name w:val="参考文献、索引标题"/>
    <w:basedOn w:val="58"/>
    <w:next w:val="1"/>
    <w:autoRedefine/>
    <w:qFormat/>
    <w:uiPriority w:val="0"/>
    <w:pPr>
      <w:numPr>
        <w:ilvl w:val="0"/>
        <w:numId w:val="0"/>
      </w:numPr>
      <w:spacing w:after="200"/>
    </w:pPr>
    <w:rPr>
      <w:rFonts w:ascii="Times New Roman" w:hAnsi="Times New Roman" w:eastAsia="宋体" w:cs="Times New Roman"/>
      <w:sz w:val="21"/>
    </w:rPr>
  </w:style>
  <w:style w:type="paragraph" w:customStyle="1" w:styleId="108">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09">
    <w:name w:val="编号列项（三级）"/>
    <w:autoRedefine/>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10">
    <w:name w:val="图表脚注"/>
    <w:next w:val="59"/>
    <w:autoRedefine/>
    <w:qFormat/>
    <w:uiPriority w:val="0"/>
    <w:pPr>
      <w:jc w:val="both"/>
    </w:pPr>
    <w:rPr>
      <w:rFonts w:ascii="宋体" w:hAnsi="Times New Roman" w:eastAsia="宋体" w:cs="Times New Roman"/>
      <w:sz w:val="18"/>
      <w:lang w:val="en-US" w:eastAsia="zh-CN" w:bidi="ar-SA"/>
    </w:rPr>
  </w:style>
  <w:style w:type="paragraph" w:customStyle="1" w:styleId="111">
    <w:name w:val="附录图标题"/>
    <w:next w:val="59"/>
    <w:autoRedefine/>
    <w:qFormat/>
    <w:uiPriority w:val="0"/>
    <w:pPr>
      <w:numPr>
        <w:ilvl w:val="0"/>
        <w:numId w:val="9"/>
      </w:numPr>
      <w:jc w:val="center"/>
    </w:pPr>
    <w:rPr>
      <w:rFonts w:ascii="黑体" w:hAnsi="Times New Roman" w:eastAsia="黑体" w:cs="Times New Roman"/>
      <w:sz w:val="21"/>
      <w:lang w:val="en-US" w:eastAsia="zh-CN" w:bidi="ar-SA"/>
    </w:rPr>
  </w:style>
  <w:style w:type="paragraph" w:customStyle="1" w:styleId="112">
    <w:name w:val="注："/>
    <w:next w:val="59"/>
    <w:autoRedefine/>
    <w:qFormat/>
    <w:uiPriority w:val="0"/>
    <w:pPr>
      <w:widowControl w:val="0"/>
      <w:numPr>
        <w:ilvl w:val="0"/>
        <w:numId w:val="10"/>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13">
    <w:name w:val="注×："/>
    <w:autoRedefine/>
    <w:qFormat/>
    <w:uiPriority w:val="0"/>
    <w:pPr>
      <w:widowControl w:val="0"/>
      <w:numPr>
        <w:ilvl w:val="0"/>
        <w:numId w:val="11"/>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14">
    <w:name w:val="条文脚注"/>
    <w:basedOn w:val="30"/>
    <w:autoRedefine/>
    <w:qFormat/>
    <w:uiPriority w:val="0"/>
    <w:pPr>
      <w:ind w:left="780" w:leftChars="200" w:hanging="360" w:hangingChars="200"/>
      <w:jc w:val="both"/>
    </w:pPr>
    <w:rPr>
      <w:rFonts w:ascii="宋体" w:hAnsi="Times New Roman" w:eastAsia="宋体" w:cs="Times New Roman"/>
    </w:rPr>
  </w:style>
  <w:style w:type="paragraph" w:customStyle="1" w:styleId="115">
    <w:name w:val="附录表标题"/>
    <w:next w:val="59"/>
    <w:autoRedefine/>
    <w:qFormat/>
    <w:uiPriority w:val="0"/>
    <w:pPr>
      <w:numPr>
        <w:ilvl w:val="0"/>
        <w:numId w:val="12"/>
      </w:numPr>
      <w:jc w:val="center"/>
      <w:textAlignment w:val="baseline"/>
    </w:pPr>
    <w:rPr>
      <w:rFonts w:ascii="黑体" w:hAnsi="Times New Roman" w:eastAsia="黑体" w:cs="Times New Roman"/>
      <w:kern w:val="21"/>
      <w:sz w:val="21"/>
      <w:lang w:val="en-US" w:eastAsia="zh-CN" w:bidi="ar-SA"/>
    </w:rPr>
  </w:style>
  <w:style w:type="paragraph" w:customStyle="1" w:styleId="116">
    <w:name w:val="三级无标题条"/>
    <w:basedOn w:val="1"/>
    <w:autoRedefine/>
    <w:qFormat/>
    <w:uiPriority w:val="0"/>
    <w:pPr>
      <w:numPr>
        <w:ilvl w:val="4"/>
        <w:numId w:val="2"/>
      </w:numPr>
    </w:pPr>
    <w:rPr>
      <w:rFonts w:ascii="Times New Roman" w:hAnsi="Times New Roman" w:eastAsia="宋体" w:cs="Times New Roman"/>
      <w:szCs w:val="24"/>
    </w:rPr>
  </w:style>
  <w:style w:type="paragraph" w:customStyle="1" w:styleId="117">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8">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19">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20">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21">
    <w:name w:val="Table Paragraph"/>
    <w:basedOn w:val="1"/>
    <w:autoRedefine/>
    <w:qFormat/>
    <w:uiPriority w:val="0"/>
    <w:pPr>
      <w:spacing w:before="22"/>
      <w:ind w:left="107"/>
    </w:pPr>
    <w:rPr>
      <w:rFonts w:ascii="宋体" w:hAnsi="宋体" w:eastAsia="宋体" w:cs="宋体"/>
      <w:lang w:val="zh-CN" w:eastAsia="zh-CN" w:bidi="zh-CN"/>
    </w:rPr>
  </w:style>
  <w:style w:type="paragraph" w:customStyle="1" w:styleId="122">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23">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24">
    <w:name w:val="五级无标题条"/>
    <w:basedOn w:val="1"/>
    <w:autoRedefine/>
    <w:qFormat/>
    <w:uiPriority w:val="0"/>
    <w:pPr>
      <w:numPr>
        <w:ilvl w:val="6"/>
        <w:numId w:val="2"/>
      </w:numPr>
    </w:pPr>
    <w:rPr>
      <w:rFonts w:ascii="Times New Roman" w:hAnsi="Times New Roman" w:eastAsia="宋体" w:cs="Times New Roman"/>
      <w:szCs w:val="24"/>
    </w:rPr>
  </w:style>
  <w:style w:type="paragraph" w:customStyle="1" w:styleId="125">
    <w:name w:val="列项●（二级）"/>
    <w:autoRedefine/>
    <w:qFormat/>
    <w:uiPriority w:val="0"/>
    <w:pPr>
      <w:numPr>
        <w:ilvl w:val="0"/>
        <w:numId w:val="13"/>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26">
    <w:name w:val="标准文件_附录一级条标题"/>
    <w:next w:val="61"/>
    <w:autoRedefine/>
    <w:qFormat/>
    <w:uiPriority w:val="0"/>
    <w:pPr>
      <w:widowControl w:val="0"/>
      <w:numPr>
        <w:ilvl w:val="1"/>
        <w:numId w:val="5"/>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127">
    <w:name w:val="标准文件_附录一级无标题"/>
    <w:basedOn w:val="126"/>
    <w:autoRedefine/>
    <w:qFormat/>
    <w:uiPriority w:val="0"/>
    <w:pPr>
      <w:spacing w:before="0" w:beforeLines="0" w:after="0" w:afterLines="0" w:line="276" w:lineRule="auto"/>
      <w:outlineLvl w:val="9"/>
    </w:pPr>
    <w:rPr>
      <w:rFonts w:ascii="宋体" w:hAnsi="Times New Roman" w:eastAsia="宋体" w:cs="Times New Roman"/>
    </w:rPr>
  </w:style>
  <w:style w:type="paragraph" w:customStyle="1" w:styleId="128">
    <w:name w:val="标准文件_字母编号列项（一级）"/>
    <w:autoRedefine/>
    <w:qFormat/>
    <w:uiPriority w:val="0"/>
    <w:pPr>
      <w:numPr>
        <w:ilvl w:val="0"/>
        <w:numId w:val="14"/>
      </w:numPr>
      <w:jc w:val="both"/>
    </w:pPr>
    <w:rPr>
      <w:rFonts w:ascii="宋体" w:hAnsi="Times New Roman" w:eastAsia="宋体" w:cs="Times New Roman"/>
      <w:sz w:val="21"/>
      <w:lang w:val="en-US" w:eastAsia="zh-CN" w:bidi="ar-SA"/>
    </w:rPr>
  </w:style>
  <w:style w:type="paragraph" w:customStyle="1" w:styleId="129">
    <w:name w:val="正文C条文"/>
    <w:basedOn w:val="130"/>
    <w:autoRedefine/>
    <w:qFormat/>
    <w:uiPriority w:val="0"/>
    <w:pPr>
      <w:numPr>
        <w:ilvl w:val="2"/>
        <w:numId w:val="15"/>
      </w:numPr>
      <w:spacing w:before="50" w:beforeLines="50" w:after="50" w:afterLines="50"/>
      <w:ind w:left="0" w:firstLineChars="0"/>
    </w:pPr>
  </w:style>
  <w:style w:type="paragraph" w:customStyle="1" w:styleId="130">
    <w:name w:val="正文A缩进"/>
    <w:basedOn w:val="1"/>
    <w:autoRedefine/>
    <w:qFormat/>
    <w:uiPriority w:val="0"/>
    <w:pPr>
      <w:spacing w:line="360" w:lineRule="auto"/>
      <w:ind w:firstLine="200" w:firstLineChars="200"/>
    </w:pPr>
    <w:rPr>
      <w:sz w:val="24"/>
    </w:rPr>
  </w:style>
  <w:style w:type="paragraph" w:customStyle="1" w:styleId="131">
    <w:name w:val="标准正文"/>
    <w:basedOn w:val="1"/>
    <w:autoRedefine/>
    <w:qFormat/>
    <w:uiPriority w:val="0"/>
    <w:pPr>
      <w:tabs>
        <w:tab w:val="left" w:pos="540"/>
        <w:tab w:val="left" w:pos="720"/>
        <w:tab w:val="left" w:pos="900"/>
        <w:tab w:val="left" w:pos="1080"/>
      </w:tabs>
      <w:snapToGrid w:val="0"/>
      <w:spacing w:line="288" w:lineRule="auto"/>
    </w:pPr>
    <w:rPr>
      <w:rFonts w:ascii="宋体" w:hAnsi="宋体"/>
      <w:color w:val="000000"/>
      <w:szCs w:val="21"/>
    </w:rPr>
  </w:style>
  <w:style w:type="paragraph" w:customStyle="1" w:styleId="132">
    <w:name w:val="WPSOffice手动目录 1"/>
    <w:qFormat/>
    <w:uiPriority w:val="0"/>
    <w:pPr>
      <w:ind w:leftChars="0"/>
    </w:pPr>
    <w:rPr>
      <w:rFonts w:ascii="Times New Roman" w:hAnsi="Times New Roman" w:eastAsia="宋体" w:cs="Times New Roman"/>
      <w:sz w:val="20"/>
      <w:szCs w:val="20"/>
    </w:rPr>
  </w:style>
  <w:style w:type="paragraph" w:customStyle="1" w:styleId="133">
    <w:name w:val="WPSOffice手动目录 2"/>
    <w:qFormat/>
    <w:uiPriority w:val="0"/>
    <w:pPr>
      <w:ind w:leftChars="200"/>
    </w:pPr>
    <w:rPr>
      <w:rFonts w:ascii="Times New Roman" w:hAnsi="Times New Roman" w:eastAsia="宋体" w:cs="Times New Roman"/>
      <w:sz w:val="20"/>
      <w:szCs w:val="20"/>
    </w:rPr>
  </w:style>
  <w:style w:type="paragraph" w:customStyle="1" w:styleId="134">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CNIS</Company>
  <Pages>66</Pages>
  <Words>30485</Words>
  <Characters>34975</Characters>
  <Lines>81</Lines>
  <Paragraphs>22</Paragraphs>
  <TotalTime>9</TotalTime>
  <ScaleCrop>false</ScaleCrop>
  <LinksUpToDate>false</LinksUpToDate>
  <CharactersWithSpaces>37319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2018-09-30T19:48:00Z</dcterms:created>
  <dc:creator>LSK</dc:creator>
  <dc:description>Shankar's Birthday falls on 25th July.  Don't Forget to wish him</dc:description>
  <cp:keywords>Birthday</cp:keywords>
  <cp:lastModifiedBy>陌</cp:lastModifiedBy>
  <cp:lastPrinted>2024-06-05T10:02:00Z</cp:lastPrinted>
  <dcterms:modified xsi:type="dcterms:W3CDTF">2024-06-26T00:57:55Z</dcterms:modified>
  <dc:subject>Birthday</dc:subject>
  <dc:title>Are You suprised ?</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2052-12.1.0.16929</vt:lpwstr>
  </property>
  <property fmtid="{D5CDD505-2E9C-101B-9397-08002B2CF9AE}" pid="4" name="ICV">
    <vt:lpwstr>176D87711D9F482C979A769F6926763E_13</vt:lpwstr>
  </property>
</Properties>
</file>